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sz w:val="30"/>
          <w:szCs w:val="30"/>
        </w:rPr>
      </w:pPr>
      <w:bookmarkStart w:id="1" w:name="_GoBack"/>
      <w:bookmarkEnd w:id="1"/>
      <w:bookmarkStart w:id="0" w:name="_Toc24724713"/>
      <w:r>
        <w:rPr>
          <w:rFonts w:hint="eastAsia" w:ascii="方正小标宋_GBK" w:eastAsia="方正小标宋_GBK"/>
          <w:b w:val="0"/>
          <w:sz w:val="30"/>
          <w:szCs w:val="30"/>
        </w:rPr>
        <w:t>社会保险领域基层政务公开标准目录</w:t>
      </w:r>
      <w:bookmarkEnd w:id="0"/>
    </w:p>
    <w:tbl>
      <w:tblPr>
        <w:tblStyle w:val="3"/>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15"/>
                <w:szCs w:val="15"/>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shd w:val="clear" w:color="auto" w:fill="auto"/>
            <w:noWrap w:val="0"/>
            <w:vAlign w:val="center"/>
          </w:tcPr>
          <w:p>
            <w:pPr>
              <w:widowControl/>
              <w:rPr>
                <w:rFonts w:ascii="黑体" w:hAnsi="宋体" w:eastAsia="黑体" w:cs="宋体"/>
                <w:color w:val="000000"/>
                <w:kern w:val="0"/>
                <w:sz w:val="22"/>
              </w:rPr>
            </w:pPr>
          </w:p>
        </w:tc>
        <w:tc>
          <w:tcPr>
            <w:tcW w:w="2036"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024"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96" w:type="dxa"/>
            <w:vMerge w:val="continue"/>
            <w:shd w:val="clear" w:color="auto" w:fill="auto"/>
            <w:noWrap w:val="0"/>
            <w:vAlign w:val="center"/>
          </w:tcPr>
          <w:p>
            <w:pPr>
              <w:widowControl/>
              <w:jc w:val="left"/>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p>
            <w:pPr>
              <w:rPr>
                <w:rFonts w:ascii="仿宋_GB2312" w:hAnsi="宋体" w:eastAsia="仿宋_GB2312"/>
                <w:color w:val="000000"/>
                <w:sz w:val="18"/>
                <w:szCs w:val="18"/>
              </w:rPr>
            </w:pP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p>
            <w:pPr>
              <w:rPr>
                <w:rFonts w:ascii="仿宋_GB2312" w:hAnsi="宋体" w:eastAsia="仿宋_GB2312"/>
                <w:color w:val="000000"/>
                <w:sz w:val="18"/>
                <w:szCs w:val="18"/>
              </w:rPr>
            </w:pP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p>
            <w:pPr>
              <w:rPr>
                <w:rFonts w:ascii="仿宋_GB2312" w:hAnsi="宋体" w:eastAsia="仿宋_GB2312"/>
                <w:color w:val="000000"/>
                <w:sz w:val="18"/>
                <w:szCs w:val="18"/>
              </w:rPr>
            </w:pP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shd w:val="clear" w:color="auto" w:fill="auto"/>
            <w:noWrap w:val="0"/>
            <w:vAlign w:val="center"/>
          </w:tcPr>
          <w:p>
            <w:pPr>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p>
            <w:pPr>
              <w:rPr>
                <w:rFonts w:hint="eastAsia" w:ascii="仿宋_GB2312" w:hAnsi="宋体" w:eastAsia="仿宋_GB2312"/>
                <w:color w:val="000000"/>
                <w:sz w:val="18"/>
                <w:szCs w:val="18"/>
              </w:rPr>
            </w:pP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hint="eastAsia"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东部7省（市）扩大支出试点项目</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人力资源和社会保障局</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人力资源和社会保障局</w:t>
            </w:r>
            <w:r>
              <w:rPr>
                <w:rFonts w:hint="eastAsia" w:ascii="仿宋_GB2312" w:hAnsi="宋体" w:eastAsia="仿宋_GB2312"/>
                <w:color w:val="000000"/>
                <w:sz w:val="18"/>
                <w:szCs w:val="18"/>
              </w:rPr>
              <w:t>（或社会保障卡管理部门）</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人力资源和社会保障局</w:t>
            </w:r>
            <w:r>
              <w:rPr>
                <w:rFonts w:hint="eastAsia" w:ascii="仿宋_GB2312" w:hAnsi="宋体" w:eastAsia="仿宋_GB2312"/>
                <w:color w:val="000000"/>
                <w:sz w:val="18"/>
                <w:szCs w:val="18"/>
              </w:rPr>
              <w:t>（或社会保障卡管理部门）</w:t>
            </w:r>
          </w:p>
        </w:tc>
        <w:tc>
          <w:tcPr>
            <w:tcW w:w="1496"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   ■政务服务中心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shd w:val="clear" w:color="auto" w:fill="auto"/>
            <w:noWrap w:val="0"/>
            <w:vAlign w:val="center"/>
          </w:tcPr>
          <w:p>
            <w:pPr>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shd w:val="clear" w:color="auto" w:fill="auto"/>
            <w:noWrap w:val="0"/>
            <w:vAlign w:val="center"/>
          </w:tcPr>
          <w:p>
            <w:pPr>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shd w:val="clear" w:color="auto" w:fill="auto"/>
            <w:noWrap w:val="0"/>
            <w:vAlign w:val="center"/>
          </w:tcPr>
          <w:p>
            <w:pPr>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shd w:val="clear" w:color="auto" w:fill="auto"/>
            <w:noWrap w:val="0"/>
            <w:vAlign w:val="center"/>
          </w:tcPr>
          <w:p>
            <w:pPr>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F27F87"/>
    <w:rsid w:val="1FEB2840"/>
    <w:rsid w:val="2C9B7A53"/>
    <w:rsid w:val="6C7A7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2020-09-22T03:30:54Z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