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eastAsia="方正小标宋_GBK"/>
          <w:b w:val="0"/>
          <w:bCs w:val="0"/>
          <w:sz w:val="30"/>
        </w:rPr>
      </w:pPr>
      <w:r>
        <w:rPr>
          <w:rFonts w:hint="eastAsia" w:ascii="方正小标宋_GBK" w:eastAsia="方正小标宋_GBK"/>
          <w:b w:val="0"/>
          <w:bCs w:val="0"/>
          <w:sz w:val="30"/>
        </w:rPr>
        <w:t>税收管理领域基层政务公开标准目录</w:t>
      </w:r>
    </w:p>
    <w:tbl>
      <w:tblPr>
        <w:tblStyle w:val="3"/>
        <w:tblW w:w="15840" w:type="dxa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公开事项</w:t>
            </w:r>
          </w:p>
        </w:tc>
        <w:tc>
          <w:tcPr>
            <w:tcW w:w="36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公开依据</w:t>
            </w:r>
          </w:p>
        </w:tc>
        <w:tc>
          <w:tcPr>
            <w:tcW w:w="23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2"/>
                <w:lang w:bidi="ar-SA"/>
              </w:rPr>
              <w:t>公开渠道和载体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公开对象</w:t>
            </w:r>
          </w:p>
        </w:tc>
        <w:tc>
          <w:tcPr>
            <w:tcW w:w="10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公开方式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一级事项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二级事项</w:t>
            </w:r>
          </w:p>
        </w:tc>
        <w:tc>
          <w:tcPr>
            <w:tcW w:w="360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34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全社会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特定群众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主动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依申请公开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县级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《政府信息公开条例》、《国家税务总局关于印发&lt;全面推进政务公开工作实施办法&gt;的通知》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税务主管部门</w:t>
            </w:r>
          </w:p>
          <w:p>
            <w:pPr>
              <w:rPr>
                <w:rFonts w:hint="eastAsia" w:ascii="仿宋_GB2312" w:eastAsia="仿宋_GB2312" w:cs="宋体"/>
                <w:sz w:val="18"/>
                <w:szCs w:val="18"/>
                <w:lang w:bidi="ar-SA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>
            <w:pPr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34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34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sz w:val="15"/>
                <w:szCs w:val="15"/>
                <w:lang w:bidi="ar-SA"/>
              </w:rPr>
            </w:pPr>
            <w:r>
              <w:rPr>
                <w:rFonts w:hint="eastAsia" w:ascii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bottom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bottom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bottom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政府网站 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15"/>
                <w:szCs w:val="15"/>
                <w:lang w:bidi="ar-SA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对走逃、失踪的纳税户以及其他经税务机关查无下落的纳税人欠税的，由各省级和计划单列市税务局公告 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纳税人名称、统一社会信息代码（纳税人识别号）、生产经营地址、定额项目、行业类别、核定定额、应纳税额、定额执行起止日期、主管税务机关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08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2020-09-23T02:17:35Z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