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CE55F">
      <w:pPr>
        <w:spacing w:line="700" w:lineRule="exact"/>
        <w:ind w:firstLine="0" w:firstLineChars="0"/>
        <w:jc w:val="center"/>
        <w:rPr>
          <w:rFonts w:eastAsia="方正小标宋简体"/>
          <w:color w:val="000000"/>
          <w:sz w:val="44"/>
          <w:szCs w:val="44"/>
        </w:rPr>
      </w:pPr>
      <w:bookmarkStart w:id="151" w:name="_GoBack"/>
      <w:bookmarkEnd w:id="151"/>
    </w:p>
    <w:p w14:paraId="79C84C25">
      <w:pPr>
        <w:spacing w:line="700" w:lineRule="exact"/>
        <w:ind w:firstLine="0" w:firstLineChars="0"/>
        <w:jc w:val="center"/>
        <w:rPr>
          <w:rFonts w:eastAsia="方正小标宋简体"/>
          <w:color w:val="000000"/>
          <w:sz w:val="44"/>
          <w:szCs w:val="44"/>
        </w:rPr>
      </w:pPr>
    </w:p>
    <w:p w14:paraId="141E1118">
      <w:pPr>
        <w:spacing w:line="700" w:lineRule="exact"/>
        <w:ind w:firstLine="0" w:firstLineChars="0"/>
        <w:jc w:val="center"/>
        <w:rPr>
          <w:rFonts w:eastAsia="方正小标宋简体"/>
          <w:color w:val="000000"/>
          <w:sz w:val="44"/>
          <w:szCs w:val="44"/>
        </w:rPr>
      </w:pPr>
    </w:p>
    <w:p w14:paraId="60827DB0">
      <w:pPr>
        <w:spacing w:line="700" w:lineRule="exact"/>
        <w:ind w:firstLine="0" w:firstLineChars="0"/>
        <w:jc w:val="center"/>
        <w:rPr>
          <w:rFonts w:eastAsia="方正小标宋简体"/>
          <w:color w:val="000000"/>
          <w:sz w:val="44"/>
          <w:szCs w:val="44"/>
        </w:rPr>
      </w:pPr>
    </w:p>
    <w:p w14:paraId="091CBD14">
      <w:pPr>
        <w:spacing w:line="700" w:lineRule="exact"/>
        <w:ind w:firstLine="0" w:firstLineChars="0"/>
        <w:jc w:val="center"/>
        <w:rPr>
          <w:rFonts w:eastAsia="方正小标宋简体"/>
          <w:color w:val="000000"/>
          <w:sz w:val="44"/>
          <w:szCs w:val="44"/>
        </w:rPr>
      </w:pPr>
    </w:p>
    <w:p w14:paraId="2E8E7093">
      <w:pPr>
        <w:spacing w:line="700" w:lineRule="exact"/>
        <w:ind w:firstLine="0" w:firstLineChars="0"/>
        <w:jc w:val="center"/>
        <w:rPr>
          <w:rFonts w:eastAsia="方正小标宋简体"/>
          <w:color w:val="000000"/>
          <w:sz w:val="48"/>
          <w:szCs w:val="48"/>
        </w:rPr>
      </w:pPr>
      <w:r>
        <w:rPr>
          <w:rFonts w:hint="eastAsia" w:eastAsia="方正小标宋简体"/>
          <w:color w:val="000000"/>
          <w:sz w:val="48"/>
          <w:szCs w:val="48"/>
        </w:rPr>
        <w:t>小金县生态环境保护“十五五”规划</w:t>
      </w:r>
    </w:p>
    <w:p w14:paraId="298175BF">
      <w:pPr>
        <w:spacing w:line="700" w:lineRule="exact"/>
        <w:ind w:firstLine="0" w:firstLineChars="0"/>
        <w:jc w:val="center"/>
        <w:rPr>
          <w:rFonts w:eastAsia="方正小标宋简体"/>
          <w:color w:val="000000"/>
          <w:sz w:val="48"/>
          <w:szCs w:val="48"/>
        </w:rPr>
      </w:pPr>
      <w:r>
        <w:rPr>
          <w:rFonts w:hint="eastAsia" w:eastAsia="方正小标宋简体"/>
          <w:color w:val="000000"/>
          <w:sz w:val="48"/>
          <w:szCs w:val="48"/>
        </w:rPr>
        <w:t>（2026—2030年）</w:t>
      </w:r>
    </w:p>
    <w:p w14:paraId="111A8EAF">
      <w:pPr>
        <w:pStyle w:val="2"/>
        <w:ind w:left="640" w:firstLine="640"/>
      </w:pPr>
    </w:p>
    <w:p w14:paraId="42E08765">
      <w:pPr>
        <w:ind w:firstLine="640"/>
      </w:pPr>
    </w:p>
    <w:p w14:paraId="3AB713E5">
      <w:pPr>
        <w:ind w:firstLine="640"/>
      </w:pPr>
    </w:p>
    <w:p w14:paraId="1C8308BE">
      <w:pPr>
        <w:ind w:firstLine="640"/>
      </w:pPr>
    </w:p>
    <w:p w14:paraId="69F31E9D">
      <w:pPr>
        <w:ind w:firstLine="640"/>
      </w:pPr>
    </w:p>
    <w:p w14:paraId="2EEA52B7">
      <w:pPr>
        <w:ind w:firstLine="640"/>
      </w:pPr>
    </w:p>
    <w:p w14:paraId="6E73FC9C">
      <w:pPr>
        <w:ind w:firstLine="640"/>
      </w:pPr>
    </w:p>
    <w:p w14:paraId="72AEED79">
      <w:pPr>
        <w:ind w:firstLine="640"/>
      </w:pPr>
    </w:p>
    <w:p w14:paraId="3BD91E16">
      <w:pPr>
        <w:ind w:firstLine="640"/>
      </w:pPr>
    </w:p>
    <w:p w14:paraId="136417D3">
      <w:pPr>
        <w:ind w:firstLine="640"/>
      </w:pPr>
    </w:p>
    <w:p w14:paraId="01F2A75D">
      <w:pPr>
        <w:topLinePunct/>
        <w:ind w:firstLine="0" w:firstLineChars="0"/>
        <w:jc w:val="center"/>
        <w:rPr>
          <w:rFonts w:eastAsia="楷体_GB2312"/>
          <w:b/>
        </w:rPr>
      </w:pPr>
      <w:r>
        <w:rPr>
          <w:rFonts w:hint="eastAsia" w:eastAsia="楷体_GB2312"/>
          <w:b/>
        </w:rPr>
        <w:t>阿坝州小金生态环境局</w:t>
      </w:r>
    </w:p>
    <w:p w14:paraId="550B469E">
      <w:pPr>
        <w:topLinePunct/>
        <w:ind w:firstLine="0" w:firstLineChars="0"/>
        <w:jc w:val="center"/>
        <w:rPr>
          <w:rFonts w:eastAsia="楷体_GB2312"/>
          <w:b/>
        </w:rPr>
      </w:pPr>
      <w:r>
        <w:rPr>
          <w:rFonts w:hint="eastAsia" w:eastAsia="楷体_GB2312"/>
          <w:b/>
        </w:rPr>
        <w:t>2026年</w:t>
      </w:r>
      <w:r>
        <w:rPr>
          <w:rFonts w:hint="eastAsia" w:eastAsia="楷体_GB2312"/>
          <w:b/>
          <w:lang w:val="en-US" w:eastAsia="zh-CN"/>
        </w:rPr>
        <w:t>9</w:t>
      </w:r>
      <w:r>
        <w:rPr>
          <w:rFonts w:hint="eastAsia" w:eastAsia="楷体_GB2312"/>
          <w:b/>
        </w:rPr>
        <w:t>月</w:t>
      </w:r>
    </w:p>
    <w:p w14:paraId="2CA0FF35">
      <w:pPr>
        <w:ind w:firstLine="640"/>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720" w:num="1"/>
          <w:docGrid w:type="lines" w:linePitch="312" w:charSpace="0"/>
        </w:sectPr>
      </w:pPr>
    </w:p>
    <w:p w14:paraId="376B5CA3">
      <w:pPr>
        <w:ind w:firstLine="640"/>
      </w:pPr>
    </w:p>
    <w:sdt>
      <w:sdtPr>
        <w:rPr>
          <w:rFonts w:hint="eastAsia" w:ascii="黑体" w:eastAsia="黑体" w:cs="黑体"/>
          <w:b w:val="0"/>
          <w:bCs w:val="0"/>
          <w:color w:val="auto"/>
          <w:kern w:val="2"/>
          <w:sz w:val="32"/>
          <w:szCs w:val="32"/>
          <w:lang w:val="zh-CN"/>
        </w:rPr>
        <w:id w:val="-1410184648"/>
        <w:docPartObj>
          <w:docPartGallery w:val="Table of Contents"/>
          <w:docPartUnique/>
        </w:docPartObj>
      </w:sdtPr>
      <w:sdtEndPr>
        <w:rPr>
          <w:rFonts w:hint="eastAsia" w:ascii="Times New Roman" w:eastAsia="仿宋_GB2312" w:cs="Times New Roman"/>
          <w:b w:val="0"/>
          <w:bCs w:val="0"/>
          <w:color w:val="auto"/>
          <w:kern w:val="2"/>
          <w:sz w:val="32"/>
          <w:szCs w:val="24"/>
          <w:lang w:val="en-US"/>
        </w:rPr>
      </w:sdtEndPr>
      <w:sdtContent>
        <w:p w14:paraId="2CCD9E86">
          <w:pPr>
            <w:pStyle w:val="42"/>
            <w:spacing w:before="156" w:after="156"/>
            <w:jc w:val="center"/>
            <w:rPr>
              <w:rFonts w:ascii="黑体" w:eastAsia="黑体" w:cs="黑体"/>
              <w:color w:val="auto"/>
              <w:sz w:val="32"/>
              <w:szCs w:val="32"/>
            </w:rPr>
          </w:pPr>
          <w:r>
            <w:rPr>
              <w:rFonts w:hint="eastAsia" w:ascii="黑体" w:eastAsia="黑体" w:cs="黑体"/>
              <w:color w:val="auto"/>
              <w:sz w:val="32"/>
              <w:szCs w:val="32"/>
              <w:lang w:val="zh-CN"/>
            </w:rPr>
            <w:t>目</w:t>
          </w:r>
          <w:r>
            <w:rPr>
              <w:rFonts w:ascii="方正小标宋简体"/>
            </w:rPr>
            <w:t> </w:t>
          </w:r>
          <w:r>
            <w:rPr>
              <w:rFonts w:hint="eastAsia" w:ascii="黑体" w:eastAsia="黑体" w:cs="黑体"/>
              <w:color w:val="auto"/>
              <w:sz w:val="32"/>
              <w:szCs w:val="32"/>
              <w:lang w:val="zh-CN"/>
            </w:rPr>
            <w:t>录</w:t>
          </w:r>
        </w:p>
        <w:p w14:paraId="13B12E9C">
          <w:pPr>
            <w:pStyle w:val="20"/>
            <w:tabs>
              <w:tab w:val="right" w:leader="dot" w:pos="8306"/>
            </w:tabs>
          </w:pPr>
          <w:r>
            <w:fldChar w:fldCharType="begin"/>
          </w:r>
          <w:r>
            <w:instrText xml:space="preserve"> TOC \o "1-3" \h \z \u </w:instrText>
          </w:r>
          <w:r>
            <w:fldChar w:fldCharType="separate"/>
          </w:r>
          <w:r>
            <w:fldChar w:fldCharType="begin"/>
          </w:r>
          <w:r>
            <w:instrText xml:space="preserve"> HYPERLINK \l _Toc1790 </w:instrText>
          </w:r>
          <w:r>
            <w:fldChar w:fldCharType="separate"/>
          </w:r>
          <w:r>
            <w:rPr>
              <w:rFonts w:hint="eastAsia" w:ascii="方正小标宋简体"/>
            </w:rPr>
            <w:t>前言</w:t>
          </w:r>
          <w:r>
            <w:tab/>
          </w:r>
          <w:r>
            <w:fldChar w:fldCharType="begin"/>
          </w:r>
          <w:r>
            <w:instrText xml:space="preserve"> PAGEREF _Toc1790 \h </w:instrText>
          </w:r>
          <w:r>
            <w:fldChar w:fldCharType="separate"/>
          </w:r>
          <w:r>
            <w:t>1</w:t>
          </w:r>
          <w:r>
            <w:fldChar w:fldCharType="end"/>
          </w:r>
          <w:r>
            <w:fldChar w:fldCharType="end"/>
          </w:r>
        </w:p>
        <w:p w14:paraId="3BB20A8B">
          <w:pPr>
            <w:pStyle w:val="20"/>
            <w:tabs>
              <w:tab w:val="right" w:leader="dot" w:pos="8306"/>
            </w:tabs>
          </w:pPr>
          <w:r>
            <w:fldChar w:fldCharType="begin"/>
          </w:r>
          <w:r>
            <w:instrText xml:space="preserve"> HYPERLINK \l _Toc26268 </w:instrText>
          </w:r>
          <w:r>
            <w:fldChar w:fldCharType="separate"/>
          </w:r>
          <w:r>
            <w:rPr>
              <w:rFonts w:hint="eastAsia"/>
            </w:rPr>
            <w:t>第</w:t>
          </w:r>
          <w:r>
            <w:rPr>
              <w:rFonts w:hint="eastAsia"/>
              <w:lang w:val="en-US" w:eastAsia="zh-CN"/>
            </w:rPr>
            <w:t>一</w:t>
          </w:r>
          <w:r>
            <w:rPr>
              <w:rFonts w:hint="eastAsia"/>
            </w:rPr>
            <w:t>章</w:t>
          </w:r>
          <w:r>
            <w:rPr>
              <w:rFonts w:ascii="方正小标宋简体"/>
            </w:rPr>
            <w:t> </w:t>
          </w:r>
          <w:r>
            <w:rPr>
              <w:rFonts w:hint="eastAsia"/>
            </w:rPr>
            <w:t>总体要求</w:t>
          </w:r>
          <w:r>
            <w:tab/>
          </w:r>
          <w:r>
            <w:fldChar w:fldCharType="begin"/>
          </w:r>
          <w:r>
            <w:instrText xml:space="preserve"> PAGEREF _Toc26268 \h </w:instrText>
          </w:r>
          <w:r>
            <w:fldChar w:fldCharType="separate"/>
          </w:r>
          <w:r>
            <w:t>2</w:t>
          </w:r>
          <w:r>
            <w:fldChar w:fldCharType="end"/>
          </w:r>
          <w:r>
            <w:fldChar w:fldCharType="end"/>
          </w:r>
        </w:p>
        <w:p w14:paraId="7E157CEC">
          <w:pPr>
            <w:pStyle w:val="23"/>
            <w:tabs>
              <w:tab w:val="right" w:leader="dot" w:pos="8306"/>
            </w:tabs>
          </w:pPr>
          <w:r>
            <w:fldChar w:fldCharType="begin"/>
          </w:r>
          <w:r>
            <w:instrText xml:space="preserve"> HYPERLINK \l _Toc7134 </w:instrText>
          </w:r>
          <w:r>
            <w:fldChar w:fldCharType="separate"/>
          </w:r>
          <w:r>
            <w:rPr>
              <w:rFonts w:hint="eastAsia"/>
            </w:rPr>
            <w:t>第一节</w:t>
          </w:r>
          <w:r>
            <w:rPr>
              <w:rFonts w:ascii="方正小标宋简体"/>
            </w:rPr>
            <w:t> </w:t>
          </w:r>
          <w:r>
            <w:rPr>
              <w:rFonts w:hint="eastAsia"/>
            </w:rPr>
            <w:t>指导思想</w:t>
          </w:r>
          <w:r>
            <w:tab/>
          </w:r>
          <w:r>
            <w:fldChar w:fldCharType="begin"/>
          </w:r>
          <w:r>
            <w:instrText xml:space="preserve"> PAGEREF _Toc7134 \h </w:instrText>
          </w:r>
          <w:r>
            <w:fldChar w:fldCharType="separate"/>
          </w:r>
          <w:r>
            <w:t>2</w:t>
          </w:r>
          <w:r>
            <w:fldChar w:fldCharType="end"/>
          </w:r>
          <w:r>
            <w:fldChar w:fldCharType="end"/>
          </w:r>
        </w:p>
        <w:p w14:paraId="09DF7B65">
          <w:pPr>
            <w:pStyle w:val="23"/>
            <w:tabs>
              <w:tab w:val="right" w:leader="dot" w:pos="8306"/>
            </w:tabs>
          </w:pPr>
          <w:r>
            <w:fldChar w:fldCharType="begin"/>
          </w:r>
          <w:r>
            <w:instrText xml:space="preserve"> HYPERLINK \l _Toc7220 </w:instrText>
          </w:r>
          <w:r>
            <w:fldChar w:fldCharType="separate"/>
          </w:r>
          <w:r>
            <w:rPr>
              <w:rFonts w:hint="eastAsia"/>
            </w:rPr>
            <w:t>第二节</w:t>
          </w:r>
          <w:r>
            <w:rPr>
              <w:rFonts w:ascii="方正小标宋简体"/>
            </w:rPr>
            <w:t> </w:t>
          </w:r>
          <w:r>
            <w:rPr>
              <w:rFonts w:hint="eastAsia"/>
            </w:rPr>
            <w:t>基本原则</w:t>
          </w:r>
          <w:r>
            <w:tab/>
          </w:r>
          <w:r>
            <w:fldChar w:fldCharType="begin"/>
          </w:r>
          <w:r>
            <w:instrText xml:space="preserve"> PAGEREF _Toc7220 \h </w:instrText>
          </w:r>
          <w:r>
            <w:fldChar w:fldCharType="separate"/>
          </w:r>
          <w:r>
            <w:t>2</w:t>
          </w:r>
          <w:r>
            <w:fldChar w:fldCharType="end"/>
          </w:r>
          <w:r>
            <w:fldChar w:fldCharType="end"/>
          </w:r>
        </w:p>
        <w:p w14:paraId="0158D54A">
          <w:pPr>
            <w:pStyle w:val="23"/>
            <w:tabs>
              <w:tab w:val="right" w:leader="dot" w:pos="8306"/>
            </w:tabs>
          </w:pPr>
          <w:r>
            <w:fldChar w:fldCharType="begin"/>
          </w:r>
          <w:r>
            <w:instrText xml:space="preserve"> HYPERLINK \l _Toc9617 </w:instrText>
          </w:r>
          <w:r>
            <w:fldChar w:fldCharType="separate"/>
          </w:r>
          <w:r>
            <w:rPr>
              <w:rFonts w:hint="eastAsia"/>
            </w:rPr>
            <w:t>第三节</w:t>
          </w:r>
          <w:r>
            <w:rPr>
              <w:rFonts w:ascii="方正小标宋简体"/>
            </w:rPr>
            <w:t> </w:t>
          </w:r>
          <w:r>
            <w:rPr>
              <w:rFonts w:hint="eastAsia"/>
            </w:rPr>
            <w:t>目标愿景</w:t>
          </w:r>
          <w:r>
            <w:tab/>
          </w:r>
          <w:r>
            <w:fldChar w:fldCharType="begin"/>
          </w:r>
          <w:r>
            <w:instrText xml:space="preserve"> PAGEREF _Toc9617 \h </w:instrText>
          </w:r>
          <w:r>
            <w:fldChar w:fldCharType="separate"/>
          </w:r>
          <w:r>
            <w:t>3</w:t>
          </w:r>
          <w:r>
            <w:fldChar w:fldCharType="end"/>
          </w:r>
          <w:r>
            <w:fldChar w:fldCharType="end"/>
          </w:r>
        </w:p>
        <w:p w14:paraId="31DA4A39">
          <w:pPr>
            <w:pStyle w:val="23"/>
            <w:tabs>
              <w:tab w:val="right" w:leader="dot" w:pos="8306"/>
            </w:tabs>
          </w:pPr>
          <w:r>
            <w:fldChar w:fldCharType="begin"/>
          </w:r>
          <w:r>
            <w:instrText xml:space="preserve"> HYPERLINK \l _Toc27213 </w:instrText>
          </w:r>
          <w:r>
            <w:fldChar w:fldCharType="separate"/>
          </w:r>
          <w:r>
            <w:rPr>
              <w:rFonts w:hint="eastAsia"/>
            </w:rPr>
            <w:t>第四节</w:t>
          </w:r>
          <w:r>
            <w:rPr>
              <w:rFonts w:ascii="方正小标宋简体"/>
            </w:rPr>
            <w:t> </w:t>
          </w:r>
          <w:r>
            <w:rPr>
              <w:rFonts w:hint="eastAsia"/>
            </w:rPr>
            <w:t>规划指标</w:t>
          </w:r>
          <w:r>
            <w:tab/>
          </w:r>
          <w:r>
            <w:fldChar w:fldCharType="begin"/>
          </w:r>
          <w:r>
            <w:instrText xml:space="preserve"> PAGEREF _Toc27213 \h </w:instrText>
          </w:r>
          <w:r>
            <w:fldChar w:fldCharType="separate"/>
          </w:r>
          <w:r>
            <w:t>4</w:t>
          </w:r>
          <w:r>
            <w:fldChar w:fldCharType="end"/>
          </w:r>
          <w:r>
            <w:fldChar w:fldCharType="end"/>
          </w:r>
        </w:p>
        <w:p w14:paraId="3EA54740">
          <w:pPr>
            <w:pStyle w:val="20"/>
            <w:tabs>
              <w:tab w:val="right" w:leader="dot" w:pos="8306"/>
            </w:tabs>
          </w:pPr>
          <w:r>
            <w:fldChar w:fldCharType="begin"/>
          </w:r>
          <w:r>
            <w:instrText xml:space="preserve"> HYPERLINK \l _Toc14801 </w:instrText>
          </w:r>
          <w:r>
            <w:fldChar w:fldCharType="separate"/>
          </w:r>
          <w:r>
            <w:rPr>
              <w:rFonts w:hint="eastAsia"/>
            </w:rPr>
            <w:t>第</w:t>
          </w:r>
          <w:r>
            <w:rPr>
              <w:rFonts w:hint="eastAsia"/>
              <w:lang w:val="en-US" w:eastAsia="zh-CN"/>
            </w:rPr>
            <w:t>二</w:t>
          </w:r>
          <w:r>
            <w:rPr>
              <w:rFonts w:hint="eastAsia"/>
            </w:rPr>
            <w:t>章</w:t>
          </w:r>
          <w:r>
            <w:rPr>
              <w:rFonts w:ascii="方正小标宋简体"/>
            </w:rPr>
            <w:t> </w:t>
          </w:r>
          <w:r>
            <w:rPr>
              <w:rFonts w:hint="eastAsia" w:ascii="方正小标宋简体"/>
            </w:rPr>
            <w:t>强化上游生态系统保护修复</w:t>
          </w:r>
          <w:r>
            <w:tab/>
          </w:r>
          <w:r>
            <w:fldChar w:fldCharType="begin"/>
          </w:r>
          <w:r>
            <w:instrText xml:space="preserve"> PAGEREF _Toc14801 \h </w:instrText>
          </w:r>
          <w:r>
            <w:fldChar w:fldCharType="separate"/>
          </w:r>
          <w:r>
            <w:t>5</w:t>
          </w:r>
          <w:r>
            <w:fldChar w:fldCharType="end"/>
          </w:r>
          <w:r>
            <w:fldChar w:fldCharType="end"/>
          </w:r>
        </w:p>
        <w:p w14:paraId="26E82074">
          <w:pPr>
            <w:pStyle w:val="23"/>
            <w:tabs>
              <w:tab w:val="right" w:leader="dot" w:pos="8306"/>
            </w:tabs>
          </w:pPr>
          <w:r>
            <w:fldChar w:fldCharType="begin"/>
          </w:r>
          <w:r>
            <w:instrText xml:space="preserve"> HYPERLINK \l _Toc29067 </w:instrText>
          </w:r>
          <w:r>
            <w:fldChar w:fldCharType="separate"/>
          </w:r>
          <w:r>
            <w:rPr>
              <w:rFonts w:hint="eastAsia"/>
            </w:rPr>
            <w:t>第一节</w:t>
          </w:r>
          <w:r>
            <w:rPr>
              <w:rFonts w:ascii="方正小标宋简体"/>
            </w:rPr>
            <w:t> </w:t>
          </w:r>
          <w:r>
            <w:rPr>
              <w:rFonts w:hint="eastAsia"/>
            </w:rPr>
            <w:t>筑牢上游生态屏障</w:t>
          </w:r>
          <w:r>
            <w:tab/>
          </w:r>
          <w:r>
            <w:fldChar w:fldCharType="begin"/>
          </w:r>
          <w:r>
            <w:instrText xml:space="preserve"> PAGEREF _Toc29067 \h </w:instrText>
          </w:r>
          <w:r>
            <w:fldChar w:fldCharType="separate"/>
          </w:r>
          <w:r>
            <w:t>5</w:t>
          </w:r>
          <w:r>
            <w:fldChar w:fldCharType="end"/>
          </w:r>
          <w:r>
            <w:fldChar w:fldCharType="end"/>
          </w:r>
        </w:p>
        <w:p w14:paraId="0AA758C7">
          <w:pPr>
            <w:pStyle w:val="23"/>
            <w:tabs>
              <w:tab w:val="right" w:leader="dot" w:pos="8306"/>
            </w:tabs>
          </w:pPr>
          <w:r>
            <w:fldChar w:fldCharType="begin"/>
          </w:r>
          <w:r>
            <w:instrText xml:space="preserve"> HYPERLINK \l _Toc6463 </w:instrText>
          </w:r>
          <w:r>
            <w:fldChar w:fldCharType="separate"/>
          </w:r>
          <w:r>
            <w:rPr>
              <w:rFonts w:hint="eastAsia"/>
            </w:rPr>
            <w:t>第二节</w:t>
          </w:r>
          <w:r>
            <w:rPr>
              <w:rFonts w:ascii="方正小标宋简体"/>
            </w:rPr>
            <w:t> </w:t>
          </w:r>
          <w:r>
            <w:rPr>
              <w:rFonts w:hint="eastAsia"/>
            </w:rPr>
            <w:t>构建自然保护地体系</w:t>
          </w:r>
          <w:r>
            <w:tab/>
          </w:r>
          <w:r>
            <w:fldChar w:fldCharType="begin"/>
          </w:r>
          <w:r>
            <w:instrText xml:space="preserve"> PAGEREF _Toc6463 \h </w:instrText>
          </w:r>
          <w:r>
            <w:fldChar w:fldCharType="separate"/>
          </w:r>
          <w:r>
            <w:t>5</w:t>
          </w:r>
          <w:r>
            <w:fldChar w:fldCharType="end"/>
          </w:r>
          <w:r>
            <w:fldChar w:fldCharType="end"/>
          </w:r>
        </w:p>
        <w:p w14:paraId="36DE4EC3">
          <w:pPr>
            <w:pStyle w:val="23"/>
            <w:tabs>
              <w:tab w:val="right" w:leader="dot" w:pos="8306"/>
            </w:tabs>
          </w:pPr>
          <w:r>
            <w:fldChar w:fldCharType="begin"/>
          </w:r>
          <w:r>
            <w:instrText xml:space="preserve"> HYPERLINK \l _Toc12397 </w:instrText>
          </w:r>
          <w:r>
            <w:fldChar w:fldCharType="separate"/>
          </w:r>
          <w:r>
            <w:rPr>
              <w:rFonts w:hint="eastAsia"/>
            </w:rPr>
            <w:t>第三节</w:t>
          </w:r>
          <w:r>
            <w:rPr>
              <w:rFonts w:ascii="方正小标宋简体"/>
            </w:rPr>
            <w:t> </w:t>
          </w:r>
          <w:r>
            <w:rPr>
              <w:rFonts w:hint="eastAsia" w:ascii="方正小标宋简体"/>
            </w:rPr>
            <w:t>强化森林生态系统保护修复</w:t>
          </w:r>
          <w:r>
            <w:tab/>
          </w:r>
          <w:r>
            <w:fldChar w:fldCharType="begin"/>
          </w:r>
          <w:r>
            <w:instrText xml:space="preserve"> PAGEREF _Toc12397 \h </w:instrText>
          </w:r>
          <w:r>
            <w:fldChar w:fldCharType="separate"/>
          </w:r>
          <w:r>
            <w:t>6</w:t>
          </w:r>
          <w:r>
            <w:fldChar w:fldCharType="end"/>
          </w:r>
          <w:r>
            <w:fldChar w:fldCharType="end"/>
          </w:r>
        </w:p>
        <w:p w14:paraId="4CFCEEF4">
          <w:pPr>
            <w:pStyle w:val="23"/>
            <w:tabs>
              <w:tab w:val="right" w:leader="dot" w:pos="8306"/>
            </w:tabs>
          </w:pPr>
          <w:r>
            <w:fldChar w:fldCharType="begin"/>
          </w:r>
          <w:r>
            <w:instrText xml:space="preserve"> HYPERLINK \l _Toc3893 </w:instrText>
          </w:r>
          <w:r>
            <w:fldChar w:fldCharType="separate"/>
          </w:r>
          <w:r>
            <w:rPr>
              <w:rFonts w:hint="eastAsia"/>
            </w:rPr>
            <w:t>第四节</w:t>
          </w:r>
          <w:r>
            <w:rPr>
              <w:rFonts w:ascii="方正小标宋简体"/>
            </w:rPr>
            <w:t> </w:t>
          </w:r>
          <w:r>
            <w:rPr>
              <w:rFonts w:hint="eastAsia" w:ascii="方正小标宋简体"/>
            </w:rPr>
            <w:t>推进草原生态系统保护修复</w:t>
          </w:r>
          <w:r>
            <w:tab/>
          </w:r>
          <w:r>
            <w:fldChar w:fldCharType="begin"/>
          </w:r>
          <w:r>
            <w:instrText xml:space="preserve"> PAGEREF _Toc3893 \h </w:instrText>
          </w:r>
          <w:r>
            <w:fldChar w:fldCharType="separate"/>
          </w:r>
          <w:r>
            <w:t>6</w:t>
          </w:r>
          <w:r>
            <w:fldChar w:fldCharType="end"/>
          </w:r>
          <w:r>
            <w:fldChar w:fldCharType="end"/>
          </w:r>
        </w:p>
        <w:p w14:paraId="069592ED">
          <w:pPr>
            <w:pStyle w:val="23"/>
            <w:tabs>
              <w:tab w:val="right" w:leader="dot" w:pos="8306"/>
            </w:tabs>
          </w:pPr>
          <w:r>
            <w:fldChar w:fldCharType="begin"/>
          </w:r>
          <w:r>
            <w:instrText xml:space="preserve"> HYPERLINK \l _Toc22614 </w:instrText>
          </w:r>
          <w:r>
            <w:fldChar w:fldCharType="separate"/>
          </w:r>
          <w:r>
            <w:rPr>
              <w:rFonts w:hint="eastAsia"/>
            </w:rPr>
            <w:t>第五节</w:t>
          </w:r>
          <w:r>
            <w:rPr>
              <w:rFonts w:ascii="方正小标宋简体"/>
            </w:rPr>
            <w:t> </w:t>
          </w:r>
          <w:r>
            <w:rPr>
              <w:rFonts w:hint="eastAsia" w:ascii="方正小标宋简体"/>
            </w:rPr>
            <w:t>强化其他领域保护修复</w:t>
          </w:r>
          <w:r>
            <w:tab/>
          </w:r>
          <w:r>
            <w:fldChar w:fldCharType="begin"/>
          </w:r>
          <w:r>
            <w:instrText xml:space="preserve"> PAGEREF _Toc22614 \h </w:instrText>
          </w:r>
          <w:r>
            <w:fldChar w:fldCharType="separate"/>
          </w:r>
          <w:r>
            <w:t>7</w:t>
          </w:r>
          <w:r>
            <w:fldChar w:fldCharType="end"/>
          </w:r>
          <w:r>
            <w:fldChar w:fldCharType="end"/>
          </w:r>
        </w:p>
        <w:p w14:paraId="11E13C70">
          <w:pPr>
            <w:pStyle w:val="23"/>
            <w:tabs>
              <w:tab w:val="right" w:leader="dot" w:pos="8306"/>
            </w:tabs>
          </w:pPr>
          <w:r>
            <w:fldChar w:fldCharType="begin"/>
          </w:r>
          <w:r>
            <w:instrText xml:space="preserve"> HYPERLINK \l _Toc5427 </w:instrText>
          </w:r>
          <w:r>
            <w:fldChar w:fldCharType="separate"/>
          </w:r>
          <w:r>
            <w:rPr>
              <w:rFonts w:hint="eastAsia"/>
            </w:rPr>
            <w:t>第六节</w:t>
          </w:r>
          <w:r>
            <w:rPr>
              <w:rFonts w:ascii="方正小标宋简体"/>
            </w:rPr>
            <w:t> </w:t>
          </w:r>
          <w:r>
            <w:rPr>
              <w:rFonts w:hint="eastAsia"/>
            </w:rPr>
            <w:t>加强生物多样性保护</w:t>
          </w:r>
          <w:r>
            <w:tab/>
          </w:r>
          <w:r>
            <w:fldChar w:fldCharType="begin"/>
          </w:r>
          <w:r>
            <w:instrText xml:space="preserve"> PAGEREF _Toc5427 \h </w:instrText>
          </w:r>
          <w:r>
            <w:fldChar w:fldCharType="separate"/>
          </w:r>
          <w:r>
            <w:t>7</w:t>
          </w:r>
          <w:r>
            <w:fldChar w:fldCharType="end"/>
          </w:r>
          <w:r>
            <w:fldChar w:fldCharType="end"/>
          </w:r>
        </w:p>
        <w:p w14:paraId="4AEABEB8">
          <w:pPr>
            <w:pStyle w:val="23"/>
            <w:tabs>
              <w:tab w:val="right" w:leader="dot" w:pos="8306"/>
            </w:tabs>
          </w:pPr>
          <w:r>
            <w:fldChar w:fldCharType="begin"/>
          </w:r>
          <w:r>
            <w:instrText xml:space="preserve"> HYPERLINK \l _Toc31690 </w:instrText>
          </w:r>
          <w:r>
            <w:fldChar w:fldCharType="separate"/>
          </w:r>
          <w:r>
            <w:rPr>
              <w:rFonts w:hint="eastAsia"/>
            </w:rPr>
            <w:t>第七节</w:t>
          </w:r>
          <w:r>
            <w:rPr>
              <w:rFonts w:ascii="方正小标宋简体"/>
            </w:rPr>
            <w:t> </w:t>
          </w:r>
          <w:r>
            <w:rPr>
              <w:rFonts w:hint="eastAsia"/>
            </w:rPr>
            <w:t>强化生态保护监管</w:t>
          </w:r>
          <w:r>
            <w:tab/>
          </w:r>
          <w:r>
            <w:fldChar w:fldCharType="begin"/>
          </w:r>
          <w:r>
            <w:instrText xml:space="preserve"> PAGEREF _Toc31690 \h </w:instrText>
          </w:r>
          <w:r>
            <w:fldChar w:fldCharType="separate"/>
          </w:r>
          <w:r>
            <w:t>8</w:t>
          </w:r>
          <w:r>
            <w:fldChar w:fldCharType="end"/>
          </w:r>
          <w:r>
            <w:fldChar w:fldCharType="end"/>
          </w:r>
        </w:p>
        <w:p w14:paraId="6B073299">
          <w:pPr>
            <w:pStyle w:val="23"/>
            <w:tabs>
              <w:tab w:val="right" w:leader="dot" w:pos="8306"/>
            </w:tabs>
          </w:pPr>
          <w:r>
            <w:fldChar w:fldCharType="begin"/>
          </w:r>
          <w:r>
            <w:instrText xml:space="preserve"> HYPERLINK \l _Toc32428 </w:instrText>
          </w:r>
          <w:r>
            <w:fldChar w:fldCharType="separate"/>
          </w:r>
          <w:r>
            <w:rPr>
              <w:bCs/>
            </w:rPr>
            <w:t>专栏</w:t>
          </w:r>
          <w:r>
            <w:rPr>
              <w:rFonts w:hint="eastAsia"/>
              <w:bCs/>
              <w:lang w:val="en-US" w:eastAsia="zh-CN"/>
            </w:rPr>
            <w:t>一</w:t>
          </w:r>
          <w:r>
            <w:rPr>
              <w:bCs/>
            </w:rPr>
            <w:t xml:space="preserve">  生态</w:t>
          </w:r>
          <w:r>
            <w:rPr>
              <w:rFonts w:hint="eastAsia"/>
              <w:bCs/>
            </w:rPr>
            <w:t>安全屏障</w:t>
          </w:r>
          <w:r>
            <w:rPr>
              <w:bCs/>
            </w:rPr>
            <w:t>重点项目</w:t>
          </w:r>
          <w:r>
            <w:tab/>
          </w:r>
          <w:r>
            <w:fldChar w:fldCharType="begin"/>
          </w:r>
          <w:r>
            <w:instrText xml:space="preserve"> PAGEREF _Toc32428 \h </w:instrText>
          </w:r>
          <w:r>
            <w:fldChar w:fldCharType="separate"/>
          </w:r>
          <w:r>
            <w:t>9</w:t>
          </w:r>
          <w:r>
            <w:fldChar w:fldCharType="end"/>
          </w:r>
          <w:r>
            <w:fldChar w:fldCharType="end"/>
          </w:r>
        </w:p>
        <w:p w14:paraId="77B9BC52">
          <w:pPr>
            <w:pStyle w:val="20"/>
            <w:tabs>
              <w:tab w:val="right" w:leader="dot" w:pos="8306"/>
            </w:tabs>
          </w:pPr>
          <w:r>
            <w:fldChar w:fldCharType="begin"/>
          </w:r>
          <w:r>
            <w:instrText xml:space="preserve"> HYPERLINK \l _Toc26498 </w:instrText>
          </w:r>
          <w:r>
            <w:fldChar w:fldCharType="separate"/>
          </w:r>
          <w:r>
            <w:rPr>
              <w:rFonts w:hint="eastAsia"/>
            </w:rPr>
            <w:t>第三章</w:t>
          </w:r>
          <w:r>
            <w:rPr>
              <w:rFonts w:ascii="方正小标宋简体"/>
            </w:rPr>
            <w:t> </w:t>
          </w:r>
          <w:r>
            <w:rPr>
              <w:rFonts w:hint="eastAsia" w:ascii="方正小标宋简体"/>
            </w:rPr>
            <w:t>推动</w:t>
          </w:r>
          <w:r>
            <w:rPr>
              <w:rFonts w:hint="eastAsia"/>
            </w:rPr>
            <w:t>美丽小金建设迈上新台阶</w:t>
          </w:r>
          <w:r>
            <w:tab/>
          </w:r>
          <w:r>
            <w:fldChar w:fldCharType="begin"/>
          </w:r>
          <w:r>
            <w:instrText xml:space="preserve"> PAGEREF _Toc26498 \h </w:instrText>
          </w:r>
          <w:r>
            <w:fldChar w:fldCharType="separate"/>
          </w:r>
          <w:r>
            <w:t>9</w:t>
          </w:r>
          <w:r>
            <w:fldChar w:fldCharType="end"/>
          </w:r>
          <w:r>
            <w:fldChar w:fldCharType="end"/>
          </w:r>
        </w:p>
        <w:p w14:paraId="3A3663AC">
          <w:pPr>
            <w:pStyle w:val="23"/>
            <w:tabs>
              <w:tab w:val="right" w:leader="dot" w:pos="8306"/>
            </w:tabs>
          </w:pPr>
          <w:r>
            <w:fldChar w:fldCharType="begin"/>
          </w:r>
          <w:r>
            <w:instrText xml:space="preserve"> HYPERLINK \l _Toc22587 </w:instrText>
          </w:r>
          <w:r>
            <w:fldChar w:fldCharType="separate"/>
          </w:r>
          <w:r>
            <w:rPr>
              <w:rFonts w:hint="eastAsia"/>
            </w:rPr>
            <w:t>第一节</w:t>
          </w:r>
          <w:r>
            <w:rPr>
              <w:rFonts w:ascii="方正小标宋简体"/>
            </w:rPr>
            <w:t> </w:t>
          </w:r>
          <w:r>
            <w:rPr>
              <w:rFonts w:hint="eastAsia"/>
            </w:rPr>
            <w:t>推进美丽城镇建设</w:t>
          </w:r>
          <w:r>
            <w:tab/>
          </w:r>
          <w:r>
            <w:fldChar w:fldCharType="begin"/>
          </w:r>
          <w:r>
            <w:instrText xml:space="preserve"> PAGEREF _Toc22587 \h </w:instrText>
          </w:r>
          <w:r>
            <w:fldChar w:fldCharType="separate"/>
          </w:r>
          <w:r>
            <w:t>9</w:t>
          </w:r>
          <w:r>
            <w:fldChar w:fldCharType="end"/>
          </w:r>
          <w:r>
            <w:fldChar w:fldCharType="end"/>
          </w:r>
        </w:p>
        <w:p w14:paraId="263EAC3D">
          <w:pPr>
            <w:pStyle w:val="23"/>
            <w:tabs>
              <w:tab w:val="right" w:leader="dot" w:pos="8306"/>
            </w:tabs>
          </w:pPr>
          <w:r>
            <w:fldChar w:fldCharType="begin"/>
          </w:r>
          <w:r>
            <w:instrText xml:space="preserve"> HYPERLINK \l _Toc17743 </w:instrText>
          </w:r>
          <w:r>
            <w:fldChar w:fldCharType="separate"/>
          </w:r>
          <w:r>
            <w:rPr>
              <w:rFonts w:hint="eastAsia"/>
            </w:rPr>
            <w:t>第二节</w:t>
          </w:r>
          <w:r>
            <w:rPr>
              <w:rFonts w:ascii="方正小标宋简体"/>
            </w:rPr>
            <w:t> </w:t>
          </w:r>
          <w:r>
            <w:rPr>
              <w:rFonts w:hint="eastAsia"/>
            </w:rPr>
            <w:t>推进美丽乡村建设</w:t>
          </w:r>
          <w:r>
            <w:tab/>
          </w:r>
          <w:r>
            <w:fldChar w:fldCharType="begin"/>
          </w:r>
          <w:r>
            <w:instrText xml:space="preserve"> PAGEREF _Toc17743 \h </w:instrText>
          </w:r>
          <w:r>
            <w:fldChar w:fldCharType="separate"/>
          </w:r>
          <w:r>
            <w:t>10</w:t>
          </w:r>
          <w:r>
            <w:fldChar w:fldCharType="end"/>
          </w:r>
          <w:r>
            <w:fldChar w:fldCharType="end"/>
          </w:r>
        </w:p>
        <w:p w14:paraId="3E712D71">
          <w:pPr>
            <w:pStyle w:val="23"/>
            <w:tabs>
              <w:tab w:val="right" w:leader="dot" w:pos="8306"/>
            </w:tabs>
          </w:pPr>
          <w:r>
            <w:fldChar w:fldCharType="begin"/>
          </w:r>
          <w:r>
            <w:instrText xml:space="preserve"> HYPERLINK \l _Toc15756 </w:instrText>
          </w:r>
          <w:r>
            <w:fldChar w:fldCharType="separate"/>
          </w:r>
          <w:r>
            <w:rPr>
              <w:rFonts w:hint="eastAsia"/>
            </w:rPr>
            <w:t>第三节</w:t>
          </w:r>
          <w:r>
            <w:rPr>
              <w:rFonts w:ascii="方正小标宋简体"/>
            </w:rPr>
            <w:t> </w:t>
          </w:r>
          <w:r>
            <w:rPr>
              <w:rFonts w:hint="eastAsia" w:ascii="方正小标宋简体"/>
            </w:rPr>
            <w:t>推进</w:t>
          </w:r>
          <w:r>
            <w:rPr>
              <w:rFonts w:hint="eastAsia"/>
            </w:rPr>
            <w:t>美丽河湖建设</w:t>
          </w:r>
          <w:r>
            <w:tab/>
          </w:r>
          <w:r>
            <w:fldChar w:fldCharType="begin"/>
          </w:r>
          <w:r>
            <w:instrText xml:space="preserve"> PAGEREF _Toc15756 \h </w:instrText>
          </w:r>
          <w:r>
            <w:fldChar w:fldCharType="separate"/>
          </w:r>
          <w:r>
            <w:t>11</w:t>
          </w:r>
          <w:r>
            <w:fldChar w:fldCharType="end"/>
          </w:r>
          <w:r>
            <w:fldChar w:fldCharType="end"/>
          </w:r>
        </w:p>
        <w:p w14:paraId="6BE8D64D">
          <w:pPr>
            <w:pStyle w:val="23"/>
            <w:tabs>
              <w:tab w:val="right" w:leader="dot" w:pos="8306"/>
            </w:tabs>
          </w:pPr>
          <w:r>
            <w:fldChar w:fldCharType="begin"/>
          </w:r>
          <w:r>
            <w:instrText xml:space="preserve"> HYPERLINK \l _Toc24286 </w:instrText>
          </w:r>
          <w:r>
            <w:fldChar w:fldCharType="separate"/>
          </w:r>
          <w:r>
            <w:rPr>
              <w:rFonts w:hint="eastAsia"/>
            </w:rPr>
            <w:t>第四节</w:t>
          </w:r>
          <w:r>
            <w:rPr>
              <w:rFonts w:ascii="方正小标宋简体"/>
            </w:rPr>
            <w:t> </w:t>
          </w:r>
          <w:r>
            <w:rPr>
              <w:rFonts w:hint="eastAsia"/>
            </w:rPr>
            <w:t>统筹小金“美丽系列”建设</w:t>
          </w:r>
          <w:r>
            <w:tab/>
          </w:r>
          <w:r>
            <w:fldChar w:fldCharType="begin"/>
          </w:r>
          <w:r>
            <w:instrText xml:space="preserve"> PAGEREF _Toc24286 \h </w:instrText>
          </w:r>
          <w:r>
            <w:fldChar w:fldCharType="separate"/>
          </w:r>
          <w:r>
            <w:t>11</w:t>
          </w:r>
          <w:r>
            <w:fldChar w:fldCharType="end"/>
          </w:r>
          <w:r>
            <w:fldChar w:fldCharType="end"/>
          </w:r>
        </w:p>
        <w:p w14:paraId="5A1730F8">
          <w:pPr>
            <w:pStyle w:val="23"/>
            <w:tabs>
              <w:tab w:val="right" w:leader="dot" w:pos="8306"/>
            </w:tabs>
          </w:pPr>
          <w:r>
            <w:fldChar w:fldCharType="begin"/>
          </w:r>
          <w:r>
            <w:instrText xml:space="preserve"> HYPERLINK \l _Toc17274 </w:instrText>
          </w:r>
          <w:r>
            <w:fldChar w:fldCharType="separate"/>
          </w:r>
          <w:r>
            <w:rPr>
              <w:bCs/>
            </w:rPr>
            <w:t>专栏</w:t>
          </w:r>
          <w:r>
            <w:rPr>
              <w:rFonts w:hint="eastAsia"/>
              <w:bCs/>
              <w:lang w:val="en-US" w:eastAsia="zh-CN"/>
            </w:rPr>
            <w:t>二</w:t>
          </w:r>
          <w:r>
            <w:rPr>
              <w:bCs/>
            </w:rPr>
            <w:t xml:space="preserve">  </w:t>
          </w:r>
          <w:r>
            <w:rPr>
              <w:rFonts w:hint="eastAsia"/>
              <w:bCs/>
            </w:rPr>
            <w:t>美丽小金建设</w:t>
          </w:r>
          <w:r>
            <w:rPr>
              <w:bCs/>
            </w:rPr>
            <w:t>重点项目</w:t>
          </w:r>
          <w:r>
            <w:tab/>
          </w:r>
          <w:r>
            <w:fldChar w:fldCharType="begin"/>
          </w:r>
          <w:r>
            <w:instrText xml:space="preserve"> PAGEREF _Toc17274 \h </w:instrText>
          </w:r>
          <w:r>
            <w:fldChar w:fldCharType="separate"/>
          </w:r>
          <w:r>
            <w:t>12</w:t>
          </w:r>
          <w:r>
            <w:fldChar w:fldCharType="end"/>
          </w:r>
          <w:r>
            <w:fldChar w:fldCharType="end"/>
          </w:r>
        </w:p>
        <w:p w14:paraId="3A149F1E">
          <w:pPr>
            <w:pStyle w:val="20"/>
            <w:tabs>
              <w:tab w:val="right" w:leader="dot" w:pos="8306"/>
            </w:tabs>
          </w:pPr>
          <w:r>
            <w:fldChar w:fldCharType="begin"/>
          </w:r>
          <w:r>
            <w:instrText xml:space="preserve"> HYPERLINK \l _Toc18400 </w:instrText>
          </w:r>
          <w:r>
            <w:fldChar w:fldCharType="separate"/>
          </w:r>
          <w:r>
            <w:rPr>
              <w:rFonts w:hint="eastAsia"/>
            </w:rPr>
            <w:t>第四章</w:t>
          </w:r>
          <w:r>
            <w:rPr>
              <w:rFonts w:ascii="方正小标宋简体"/>
            </w:rPr>
            <w:t> </w:t>
          </w:r>
          <w:r>
            <w:rPr>
              <w:rFonts w:hint="eastAsia"/>
            </w:rPr>
            <w:t>促进经济社会绿色低碳转型</w:t>
          </w:r>
          <w:r>
            <w:tab/>
          </w:r>
          <w:r>
            <w:fldChar w:fldCharType="begin"/>
          </w:r>
          <w:r>
            <w:instrText xml:space="preserve"> PAGEREF _Toc18400 \h </w:instrText>
          </w:r>
          <w:r>
            <w:fldChar w:fldCharType="separate"/>
          </w:r>
          <w:r>
            <w:t>13</w:t>
          </w:r>
          <w:r>
            <w:fldChar w:fldCharType="end"/>
          </w:r>
          <w:r>
            <w:fldChar w:fldCharType="end"/>
          </w:r>
        </w:p>
        <w:p w14:paraId="63B70D0D">
          <w:pPr>
            <w:pStyle w:val="23"/>
            <w:tabs>
              <w:tab w:val="right" w:leader="dot" w:pos="8306"/>
            </w:tabs>
          </w:pPr>
          <w:r>
            <w:fldChar w:fldCharType="begin"/>
          </w:r>
          <w:r>
            <w:instrText xml:space="preserve"> HYPERLINK \l _Toc16434 </w:instrText>
          </w:r>
          <w:r>
            <w:fldChar w:fldCharType="separate"/>
          </w:r>
          <w:r>
            <w:rPr>
              <w:rFonts w:hint="eastAsia"/>
            </w:rPr>
            <w:t>第一节</w:t>
          </w:r>
          <w:r>
            <w:rPr>
              <w:rFonts w:ascii="方正小标宋简体"/>
            </w:rPr>
            <w:t> </w:t>
          </w:r>
          <w:r>
            <w:rPr>
              <w:rFonts w:hint="eastAsia"/>
            </w:rPr>
            <w:t>推进碳达峰目标完成</w:t>
          </w:r>
          <w:r>
            <w:tab/>
          </w:r>
          <w:r>
            <w:fldChar w:fldCharType="begin"/>
          </w:r>
          <w:r>
            <w:instrText xml:space="preserve"> PAGEREF _Toc16434 \h </w:instrText>
          </w:r>
          <w:r>
            <w:fldChar w:fldCharType="separate"/>
          </w:r>
          <w:r>
            <w:t>13</w:t>
          </w:r>
          <w:r>
            <w:fldChar w:fldCharType="end"/>
          </w:r>
          <w:r>
            <w:fldChar w:fldCharType="end"/>
          </w:r>
        </w:p>
        <w:p w14:paraId="022AF2BC">
          <w:pPr>
            <w:pStyle w:val="23"/>
            <w:tabs>
              <w:tab w:val="right" w:leader="dot" w:pos="8306"/>
            </w:tabs>
          </w:pPr>
          <w:r>
            <w:fldChar w:fldCharType="begin"/>
          </w:r>
          <w:r>
            <w:instrText xml:space="preserve"> HYPERLINK \l _Toc12831 </w:instrText>
          </w:r>
          <w:r>
            <w:fldChar w:fldCharType="separate"/>
          </w:r>
          <w:r>
            <w:rPr>
              <w:rFonts w:hint="eastAsia"/>
            </w:rPr>
            <w:t>第二节</w:t>
          </w:r>
          <w:r>
            <w:rPr>
              <w:rFonts w:ascii="方正小标宋简体"/>
            </w:rPr>
            <w:t> </w:t>
          </w:r>
          <w:r>
            <w:rPr>
              <w:rFonts w:hint="eastAsia"/>
            </w:rPr>
            <w:t>优化调整空间结构</w:t>
          </w:r>
          <w:r>
            <w:tab/>
          </w:r>
          <w:r>
            <w:fldChar w:fldCharType="begin"/>
          </w:r>
          <w:r>
            <w:instrText xml:space="preserve"> PAGEREF _Toc12831 \h </w:instrText>
          </w:r>
          <w:r>
            <w:fldChar w:fldCharType="separate"/>
          </w:r>
          <w:r>
            <w:t>13</w:t>
          </w:r>
          <w:r>
            <w:fldChar w:fldCharType="end"/>
          </w:r>
          <w:r>
            <w:fldChar w:fldCharType="end"/>
          </w:r>
        </w:p>
        <w:p w14:paraId="61F3D458">
          <w:pPr>
            <w:pStyle w:val="23"/>
            <w:tabs>
              <w:tab w:val="right" w:leader="dot" w:pos="8306"/>
            </w:tabs>
          </w:pPr>
          <w:r>
            <w:fldChar w:fldCharType="begin"/>
          </w:r>
          <w:r>
            <w:instrText xml:space="preserve"> HYPERLINK \l _Toc18781 </w:instrText>
          </w:r>
          <w:r>
            <w:fldChar w:fldCharType="separate"/>
          </w:r>
          <w:r>
            <w:rPr>
              <w:rFonts w:hint="eastAsia"/>
            </w:rPr>
            <w:t>第三节</w:t>
          </w:r>
          <w:r>
            <w:rPr>
              <w:rFonts w:ascii="方正小标宋简体"/>
            </w:rPr>
            <w:t> </w:t>
          </w:r>
          <w:r>
            <w:rPr>
              <w:rFonts w:hint="eastAsia"/>
            </w:rPr>
            <w:t>优化调整产业结构</w:t>
          </w:r>
          <w:r>
            <w:tab/>
          </w:r>
          <w:r>
            <w:fldChar w:fldCharType="begin"/>
          </w:r>
          <w:r>
            <w:instrText xml:space="preserve"> PAGEREF _Toc18781 \h </w:instrText>
          </w:r>
          <w:r>
            <w:fldChar w:fldCharType="separate"/>
          </w:r>
          <w:r>
            <w:t>14</w:t>
          </w:r>
          <w:r>
            <w:fldChar w:fldCharType="end"/>
          </w:r>
          <w:r>
            <w:fldChar w:fldCharType="end"/>
          </w:r>
        </w:p>
        <w:p w14:paraId="7EFE741A">
          <w:pPr>
            <w:pStyle w:val="23"/>
            <w:tabs>
              <w:tab w:val="right" w:leader="dot" w:pos="8306"/>
            </w:tabs>
          </w:pPr>
          <w:r>
            <w:fldChar w:fldCharType="begin"/>
          </w:r>
          <w:r>
            <w:instrText xml:space="preserve"> HYPERLINK \l _Toc901 </w:instrText>
          </w:r>
          <w:r>
            <w:fldChar w:fldCharType="separate"/>
          </w:r>
          <w:r>
            <w:rPr>
              <w:rFonts w:hint="eastAsia"/>
            </w:rPr>
            <w:t>第四节</w:t>
          </w:r>
          <w:r>
            <w:rPr>
              <w:rFonts w:ascii="方正小标宋简体"/>
            </w:rPr>
            <w:t> </w:t>
          </w:r>
          <w:r>
            <w:rPr>
              <w:rFonts w:hint="eastAsia"/>
            </w:rPr>
            <w:t>优化调整能源结构</w:t>
          </w:r>
          <w:r>
            <w:tab/>
          </w:r>
          <w:r>
            <w:fldChar w:fldCharType="begin"/>
          </w:r>
          <w:r>
            <w:instrText xml:space="preserve"> PAGEREF _Toc901 \h </w:instrText>
          </w:r>
          <w:r>
            <w:fldChar w:fldCharType="separate"/>
          </w:r>
          <w:r>
            <w:t>15</w:t>
          </w:r>
          <w:r>
            <w:fldChar w:fldCharType="end"/>
          </w:r>
          <w:r>
            <w:fldChar w:fldCharType="end"/>
          </w:r>
        </w:p>
        <w:p w14:paraId="138442AA">
          <w:pPr>
            <w:pStyle w:val="23"/>
            <w:tabs>
              <w:tab w:val="right" w:leader="dot" w:pos="8306"/>
            </w:tabs>
          </w:pPr>
          <w:r>
            <w:fldChar w:fldCharType="begin"/>
          </w:r>
          <w:r>
            <w:instrText xml:space="preserve"> HYPERLINK \l _Toc16537 </w:instrText>
          </w:r>
          <w:r>
            <w:fldChar w:fldCharType="separate"/>
          </w:r>
          <w:r>
            <w:rPr>
              <w:rFonts w:hint="eastAsia"/>
            </w:rPr>
            <w:t>第五节</w:t>
          </w:r>
          <w:r>
            <w:rPr>
              <w:rFonts w:ascii="方正小标宋简体"/>
            </w:rPr>
            <w:t> </w:t>
          </w:r>
          <w:r>
            <w:rPr>
              <w:rFonts w:hint="eastAsia" w:ascii="方正小标宋简体"/>
            </w:rPr>
            <w:t>探索生态产品价值实现</w:t>
          </w:r>
          <w:r>
            <w:tab/>
          </w:r>
          <w:r>
            <w:fldChar w:fldCharType="begin"/>
          </w:r>
          <w:r>
            <w:instrText xml:space="preserve"> PAGEREF _Toc16537 \h </w:instrText>
          </w:r>
          <w:r>
            <w:fldChar w:fldCharType="separate"/>
          </w:r>
          <w:r>
            <w:t>16</w:t>
          </w:r>
          <w:r>
            <w:fldChar w:fldCharType="end"/>
          </w:r>
          <w:r>
            <w:fldChar w:fldCharType="end"/>
          </w:r>
        </w:p>
        <w:p w14:paraId="22452054">
          <w:pPr>
            <w:pStyle w:val="23"/>
            <w:tabs>
              <w:tab w:val="right" w:leader="dot" w:pos="8306"/>
            </w:tabs>
          </w:pPr>
          <w:r>
            <w:fldChar w:fldCharType="begin"/>
          </w:r>
          <w:r>
            <w:instrText xml:space="preserve"> HYPERLINK \l _Toc17703 </w:instrText>
          </w:r>
          <w:r>
            <w:fldChar w:fldCharType="separate"/>
          </w:r>
          <w:r>
            <w:rPr>
              <w:rFonts w:hint="eastAsia"/>
            </w:rPr>
            <w:t>第六节</w:t>
          </w:r>
          <w:r>
            <w:rPr>
              <w:rFonts w:ascii="方正小标宋简体"/>
            </w:rPr>
            <w:t> </w:t>
          </w:r>
          <w:r>
            <w:rPr>
              <w:rFonts w:hint="eastAsia"/>
            </w:rPr>
            <w:t>培育低碳生活方式</w:t>
          </w:r>
          <w:r>
            <w:tab/>
          </w:r>
          <w:r>
            <w:fldChar w:fldCharType="begin"/>
          </w:r>
          <w:r>
            <w:instrText xml:space="preserve"> PAGEREF _Toc17703 \h </w:instrText>
          </w:r>
          <w:r>
            <w:fldChar w:fldCharType="separate"/>
          </w:r>
          <w:r>
            <w:t>18</w:t>
          </w:r>
          <w:r>
            <w:fldChar w:fldCharType="end"/>
          </w:r>
          <w:r>
            <w:fldChar w:fldCharType="end"/>
          </w:r>
        </w:p>
        <w:p w14:paraId="39E9436A">
          <w:pPr>
            <w:pStyle w:val="23"/>
            <w:tabs>
              <w:tab w:val="right" w:leader="dot" w:pos="8306"/>
            </w:tabs>
          </w:pPr>
          <w:r>
            <w:fldChar w:fldCharType="begin"/>
          </w:r>
          <w:r>
            <w:instrText xml:space="preserve"> HYPERLINK \l _Toc18640 </w:instrText>
          </w:r>
          <w:r>
            <w:fldChar w:fldCharType="separate"/>
          </w:r>
          <w:r>
            <w:rPr>
              <w:bCs/>
            </w:rPr>
            <w:t>专栏</w:t>
          </w:r>
          <w:r>
            <w:rPr>
              <w:rFonts w:hint="eastAsia"/>
              <w:bCs/>
              <w:lang w:val="en-US" w:eastAsia="zh-CN"/>
            </w:rPr>
            <w:t>三</w:t>
          </w:r>
          <w:r>
            <w:rPr>
              <w:bCs/>
            </w:rPr>
            <w:t xml:space="preserve">  </w:t>
          </w:r>
          <w:r>
            <w:rPr>
              <w:rFonts w:hint="eastAsia"/>
              <w:bCs/>
            </w:rPr>
            <w:t>绿色低碳转型</w:t>
          </w:r>
          <w:r>
            <w:rPr>
              <w:bCs/>
            </w:rPr>
            <w:t>重点项目</w:t>
          </w:r>
          <w:r>
            <w:tab/>
          </w:r>
          <w:r>
            <w:fldChar w:fldCharType="begin"/>
          </w:r>
          <w:r>
            <w:instrText xml:space="preserve"> PAGEREF _Toc18640 \h </w:instrText>
          </w:r>
          <w:r>
            <w:fldChar w:fldCharType="separate"/>
          </w:r>
          <w:r>
            <w:t>19</w:t>
          </w:r>
          <w:r>
            <w:fldChar w:fldCharType="end"/>
          </w:r>
          <w:r>
            <w:fldChar w:fldCharType="end"/>
          </w:r>
        </w:p>
        <w:p w14:paraId="12572A76">
          <w:pPr>
            <w:pStyle w:val="20"/>
            <w:tabs>
              <w:tab w:val="right" w:leader="dot" w:pos="8306"/>
            </w:tabs>
          </w:pPr>
          <w:r>
            <w:fldChar w:fldCharType="begin"/>
          </w:r>
          <w:r>
            <w:instrText xml:space="preserve"> HYPERLINK \l _Toc31691 </w:instrText>
          </w:r>
          <w:r>
            <w:fldChar w:fldCharType="separate"/>
          </w:r>
          <w:r>
            <w:rPr>
              <w:rFonts w:hint="eastAsia"/>
            </w:rPr>
            <w:t>第</w:t>
          </w:r>
          <w:r>
            <w:rPr>
              <w:rFonts w:hint="eastAsia"/>
              <w:lang w:val="en-US" w:eastAsia="zh-CN"/>
            </w:rPr>
            <w:t>五</w:t>
          </w:r>
          <w:r>
            <w:rPr>
              <w:rFonts w:hint="eastAsia"/>
            </w:rPr>
            <w:t>章</w:t>
          </w:r>
          <w:r>
            <w:rPr>
              <w:rFonts w:ascii="方正小标宋简体"/>
            </w:rPr>
            <w:t> </w:t>
          </w:r>
          <w:r>
            <w:rPr>
              <w:rFonts w:hint="eastAsia" w:ascii="方正小标宋简体"/>
            </w:rPr>
            <w:t>持续</w:t>
          </w:r>
          <w:r>
            <w:rPr>
              <w:rFonts w:hint="eastAsia"/>
            </w:rPr>
            <w:t>深入推进污染防治攻坚</w:t>
          </w:r>
          <w:r>
            <w:tab/>
          </w:r>
          <w:r>
            <w:fldChar w:fldCharType="begin"/>
          </w:r>
          <w:r>
            <w:instrText xml:space="preserve"> PAGEREF _Toc31691 \h </w:instrText>
          </w:r>
          <w:r>
            <w:fldChar w:fldCharType="separate"/>
          </w:r>
          <w:r>
            <w:t>20</w:t>
          </w:r>
          <w:r>
            <w:fldChar w:fldCharType="end"/>
          </w:r>
          <w:r>
            <w:fldChar w:fldCharType="end"/>
          </w:r>
        </w:p>
        <w:p w14:paraId="647F1A2A">
          <w:pPr>
            <w:pStyle w:val="23"/>
            <w:tabs>
              <w:tab w:val="right" w:leader="dot" w:pos="8306"/>
            </w:tabs>
          </w:pPr>
          <w:r>
            <w:fldChar w:fldCharType="begin"/>
          </w:r>
          <w:r>
            <w:instrText xml:space="preserve"> HYPERLINK \l _Toc4907 </w:instrText>
          </w:r>
          <w:r>
            <w:fldChar w:fldCharType="separate"/>
          </w:r>
          <w:r>
            <w:rPr>
              <w:rFonts w:hint="eastAsia"/>
            </w:rPr>
            <w:t>第一节</w:t>
          </w:r>
          <w:r>
            <w:rPr>
              <w:rFonts w:ascii="方正小标宋简体"/>
            </w:rPr>
            <w:t> </w:t>
          </w:r>
          <w:r>
            <w:rPr>
              <w:rFonts w:hint="eastAsia"/>
            </w:rPr>
            <w:t>持续深入打好蓝天保卫战</w:t>
          </w:r>
          <w:r>
            <w:tab/>
          </w:r>
          <w:r>
            <w:fldChar w:fldCharType="begin"/>
          </w:r>
          <w:r>
            <w:instrText xml:space="preserve"> PAGEREF _Toc4907 \h </w:instrText>
          </w:r>
          <w:r>
            <w:fldChar w:fldCharType="separate"/>
          </w:r>
          <w:r>
            <w:t>20</w:t>
          </w:r>
          <w:r>
            <w:fldChar w:fldCharType="end"/>
          </w:r>
          <w:r>
            <w:fldChar w:fldCharType="end"/>
          </w:r>
        </w:p>
        <w:p w14:paraId="2A47D698">
          <w:pPr>
            <w:pStyle w:val="23"/>
            <w:tabs>
              <w:tab w:val="right" w:leader="dot" w:pos="8306"/>
            </w:tabs>
          </w:pPr>
          <w:r>
            <w:fldChar w:fldCharType="begin"/>
          </w:r>
          <w:r>
            <w:instrText xml:space="preserve"> HYPERLINK \l _Toc15751 </w:instrText>
          </w:r>
          <w:r>
            <w:fldChar w:fldCharType="separate"/>
          </w:r>
          <w:r>
            <w:rPr>
              <w:rFonts w:hint="eastAsia"/>
            </w:rPr>
            <w:t>第二节</w:t>
          </w:r>
          <w:r>
            <w:rPr>
              <w:rFonts w:ascii="方正小标宋简体"/>
            </w:rPr>
            <w:t> </w:t>
          </w:r>
          <w:r>
            <w:rPr>
              <w:rFonts w:hint="eastAsia"/>
            </w:rPr>
            <w:t>持续深入打好碧水保卫战</w:t>
          </w:r>
          <w:r>
            <w:tab/>
          </w:r>
          <w:r>
            <w:fldChar w:fldCharType="begin"/>
          </w:r>
          <w:r>
            <w:instrText xml:space="preserve"> PAGEREF _Toc15751 \h </w:instrText>
          </w:r>
          <w:r>
            <w:fldChar w:fldCharType="separate"/>
          </w:r>
          <w:r>
            <w:t>21</w:t>
          </w:r>
          <w:r>
            <w:fldChar w:fldCharType="end"/>
          </w:r>
          <w:r>
            <w:fldChar w:fldCharType="end"/>
          </w:r>
        </w:p>
        <w:p w14:paraId="75E6070E">
          <w:pPr>
            <w:pStyle w:val="23"/>
            <w:tabs>
              <w:tab w:val="right" w:leader="dot" w:pos="8306"/>
            </w:tabs>
          </w:pPr>
          <w:r>
            <w:fldChar w:fldCharType="begin"/>
          </w:r>
          <w:r>
            <w:instrText xml:space="preserve"> HYPERLINK \l _Toc10417 </w:instrText>
          </w:r>
          <w:r>
            <w:fldChar w:fldCharType="separate"/>
          </w:r>
          <w:r>
            <w:rPr>
              <w:rFonts w:hint="eastAsia"/>
            </w:rPr>
            <w:t>第三节</w:t>
          </w:r>
          <w:r>
            <w:rPr>
              <w:rFonts w:ascii="方正小标宋简体"/>
            </w:rPr>
            <w:t> </w:t>
          </w:r>
          <w:r>
            <w:rPr>
              <w:rFonts w:hint="eastAsia"/>
            </w:rPr>
            <w:t>持续深入打好净土保卫战</w:t>
          </w:r>
          <w:r>
            <w:tab/>
          </w:r>
          <w:r>
            <w:fldChar w:fldCharType="begin"/>
          </w:r>
          <w:r>
            <w:instrText xml:space="preserve"> PAGEREF _Toc10417 \h </w:instrText>
          </w:r>
          <w:r>
            <w:fldChar w:fldCharType="separate"/>
          </w:r>
          <w:r>
            <w:t>22</w:t>
          </w:r>
          <w:r>
            <w:fldChar w:fldCharType="end"/>
          </w:r>
          <w:r>
            <w:fldChar w:fldCharType="end"/>
          </w:r>
        </w:p>
        <w:p w14:paraId="4C694410">
          <w:pPr>
            <w:pStyle w:val="23"/>
            <w:tabs>
              <w:tab w:val="right" w:leader="dot" w:pos="8306"/>
            </w:tabs>
          </w:pPr>
          <w:r>
            <w:fldChar w:fldCharType="begin"/>
          </w:r>
          <w:r>
            <w:instrText xml:space="preserve"> HYPERLINK \l _Toc13671 </w:instrText>
          </w:r>
          <w:r>
            <w:fldChar w:fldCharType="separate"/>
          </w:r>
          <w:r>
            <w:rPr>
              <w:rFonts w:hint="eastAsia"/>
            </w:rPr>
            <w:t>第四节</w:t>
          </w:r>
          <w:r>
            <w:rPr>
              <w:rFonts w:ascii="方正小标宋简体"/>
            </w:rPr>
            <w:t> </w:t>
          </w:r>
          <w:r>
            <w:rPr>
              <w:rFonts w:hint="eastAsia"/>
            </w:rPr>
            <w:t>加强固体废物治理</w:t>
          </w:r>
          <w:r>
            <w:tab/>
          </w:r>
          <w:r>
            <w:fldChar w:fldCharType="begin"/>
          </w:r>
          <w:r>
            <w:instrText xml:space="preserve"> PAGEREF _Toc13671 \h </w:instrText>
          </w:r>
          <w:r>
            <w:fldChar w:fldCharType="separate"/>
          </w:r>
          <w:r>
            <w:t>23</w:t>
          </w:r>
          <w:r>
            <w:fldChar w:fldCharType="end"/>
          </w:r>
          <w:r>
            <w:fldChar w:fldCharType="end"/>
          </w:r>
        </w:p>
        <w:p w14:paraId="18DFDD28">
          <w:pPr>
            <w:pStyle w:val="23"/>
            <w:tabs>
              <w:tab w:val="right" w:leader="dot" w:pos="8306"/>
            </w:tabs>
          </w:pPr>
          <w:r>
            <w:fldChar w:fldCharType="begin"/>
          </w:r>
          <w:r>
            <w:instrText xml:space="preserve"> HYPERLINK \l _Toc15830 </w:instrText>
          </w:r>
          <w:r>
            <w:fldChar w:fldCharType="separate"/>
          </w:r>
          <w:r>
            <w:rPr>
              <w:rFonts w:hint="eastAsia"/>
            </w:rPr>
            <w:t>第五节</w:t>
          </w:r>
          <w:r>
            <w:rPr>
              <w:rFonts w:ascii="方正小标宋简体"/>
            </w:rPr>
            <w:t> </w:t>
          </w:r>
          <w:r>
            <w:rPr>
              <w:rFonts w:hint="eastAsia"/>
            </w:rPr>
            <w:t>加强农村环境治理</w:t>
          </w:r>
          <w:r>
            <w:tab/>
          </w:r>
          <w:r>
            <w:fldChar w:fldCharType="begin"/>
          </w:r>
          <w:r>
            <w:instrText xml:space="preserve"> PAGEREF _Toc15830 \h </w:instrText>
          </w:r>
          <w:r>
            <w:fldChar w:fldCharType="separate"/>
          </w:r>
          <w:r>
            <w:t>24</w:t>
          </w:r>
          <w:r>
            <w:fldChar w:fldCharType="end"/>
          </w:r>
          <w:r>
            <w:fldChar w:fldCharType="end"/>
          </w:r>
        </w:p>
        <w:p w14:paraId="11B7D97F">
          <w:pPr>
            <w:pStyle w:val="23"/>
            <w:tabs>
              <w:tab w:val="right" w:leader="dot" w:pos="8306"/>
            </w:tabs>
          </w:pPr>
          <w:r>
            <w:fldChar w:fldCharType="begin"/>
          </w:r>
          <w:r>
            <w:instrText xml:space="preserve"> HYPERLINK \l _Toc3394 </w:instrText>
          </w:r>
          <w:r>
            <w:fldChar w:fldCharType="separate"/>
          </w:r>
          <w:r>
            <w:rPr>
              <w:rFonts w:hint="eastAsia"/>
            </w:rPr>
            <w:t>第六节</w:t>
          </w:r>
          <w:r>
            <w:rPr>
              <w:rFonts w:ascii="方正小标宋简体"/>
            </w:rPr>
            <w:t> </w:t>
          </w:r>
          <w:r>
            <w:rPr>
              <w:rFonts w:hint="eastAsia"/>
            </w:rPr>
            <w:t>落实噪声污染管控</w:t>
          </w:r>
          <w:r>
            <w:tab/>
          </w:r>
          <w:r>
            <w:fldChar w:fldCharType="begin"/>
          </w:r>
          <w:r>
            <w:instrText xml:space="preserve"> PAGEREF _Toc3394 \h </w:instrText>
          </w:r>
          <w:r>
            <w:fldChar w:fldCharType="separate"/>
          </w:r>
          <w:r>
            <w:t>25</w:t>
          </w:r>
          <w:r>
            <w:fldChar w:fldCharType="end"/>
          </w:r>
          <w:r>
            <w:fldChar w:fldCharType="end"/>
          </w:r>
        </w:p>
        <w:p w14:paraId="604298F6">
          <w:pPr>
            <w:pStyle w:val="23"/>
            <w:tabs>
              <w:tab w:val="right" w:leader="dot" w:pos="8306"/>
            </w:tabs>
          </w:pPr>
          <w:r>
            <w:fldChar w:fldCharType="begin"/>
          </w:r>
          <w:r>
            <w:instrText xml:space="preserve"> HYPERLINK \l _Toc18308 </w:instrText>
          </w:r>
          <w:r>
            <w:fldChar w:fldCharType="separate"/>
          </w:r>
          <w:r>
            <w:rPr>
              <w:rFonts w:hint="eastAsia"/>
            </w:rPr>
            <w:t>第七节</w:t>
          </w:r>
          <w:r>
            <w:rPr>
              <w:rFonts w:ascii="方正小标宋简体"/>
            </w:rPr>
            <w:t> </w:t>
          </w:r>
          <w:r>
            <w:rPr>
              <w:rFonts w:hint="eastAsia" w:ascii="方正小标宋简体"/>
            </w:rPr>
            <w:t>补齐环境基础设施短板</w:t>
          </w:r>
          <w:r>
            <w:tab/>
          </w:r>
          <w:r>
            <w:fldChar w:fldCharType="begin"/>
          </w:r>
          <w:r>
            <w:instrText xml:space="preserve"> PAGEREF _Toc18308 \h </w:instrText>
          </w:r>
          <w:r>
            <w:fldChar w:fldCharType="separate"/>
          </w:r>
          <w:r>
            <w:t>26</w:t>
          </w:r>
          <w:r>
            <w:fldChar w:fldCharType="end"/>
          </w:r>
          <w:r>
            <w:fldChar w:fldCharType="end"/>
          </w:r>
        </w:p>
        <w:p w14:paraId="08284476">
          <w:pPr>
            <w:pStyle w:val="23"/>
            <w:tabs>
              <w:tab w:val="right" w:leader="dot" w:pos="8306"/>
            </w:tabs>
          </w:pPr>
          <w:r>
            <w:fldChar w:fldCharType="begin"/>
          </w:r>
          <w:r>
            <w:instrText xml:space="preserve"> HYPERLINK \l _Toc14109 </w:instrText>
          </w:r>
          <w:r>
            <w:fldChar w:fldCharType="separate"/>
          </w:r>
          <w:r>
            <w:rPr>
              <w:bCs/>
            </w:rPr>
            <w:t>专栏</w:t>
          </w:r>
          <w:r>
            <w:rPr>
              <w:rFonts w:hint="eastAsia"/>
              <w:bCs/>
            </w:rPr>
            <w:t>四</w:t>
          </w:r>
          <w:r>
            <w:rPr>
              <w:bCs/>
            </w:rPr>
            <w:t xml:space="preserve">  </w:t>
          </w:r>
          <w:r>
            <w:rPr>
              <w:rFonts w:hint="eastAsia"/>
              <w:bCs/>
            </w:rPr>
            <w:t>生态环境治理</w:t>
          </w:r>
          <w:r>
            <w:rPr>
              <w:bCs/>
            </w:rPr>
            <w:t>重点项目</w:t>
          </w:r>
          <w:r>
            <w:tab/>
          </w:r>
          <w:r>
            <w:fldChar w:fldCharType="begin"/>
          </w:r>
          <w:r>
            <w:instrText xml:space="preserve"> PAGEREF _Toc14109 \h </w:instrText>
          </w:r>
          <w:r>
            <w:fldChar w:fldCharType="separate"/>
          </w:r>
          <w:r>
            <w:t>26</w:t>
          </w:r>
          <w:r>
            <w:fldChar w:fldCharType="end"/>
          </w:r>
          <w:r>
            <w:fldChar w:fldCharType="end"/>
          </w:r>
        </w:p>
        <w:p w14:paraId="7EFACB3D">
          <w:pPr>
            <w:pStyle w:val="20"/>
            <w:tabs>
              <w:tab w:val="right" w:leader="dot" w:pos="8306"/>
            </w:tabs>
          </w:pPr>
          <w:r>
            <w:fldChar w:fldCharType="begin"/>
          </w:r>
          <w:r>
            <w:instrText xml:space="preserve"> HYPERLINK \l _Toc1379 </w:instrText>
          </w:r>
          <w:r>
            <w:fldChar w:fldCharType="separate"/>
          </w:r>
          <w:r>
            <w:rPr>
              <w:rFonts w:hint="eastAsia"/>
            </w:rPr>
            <w:t>第</w:t>
          </w:r>
          <w:r>
            <w:rPr>
              <w:rFonts w:hint="eastAsia"/>
              <w:lang w:val="en-US" w:eastAsia="zh-CN"/>
            </w:rPr>
            <w:t>六</w:t>
          </w:r>
          <w:r>
            <w:rPr>
              <w:rFonts w:hint="eastAsia"/>
            </w:rPr>
            <w:t>章</w:t>
          </w:r>
          <w:r>
            <w:rPr>
              <w:rFonts w:ascii="方正小标宋简体"/>
            </w:rPr>
            <w:t> </w:t>
          </w:r>
          <w:r>
            <w:rPr>
              <w:rFonts w:hint="eastAsia" w:ascii="方正小标宋简体"/>
            </w:rPr>
            <w:t>坚决</w:t>
          </w:r>
          <w:r>
            <w:rPr>
              <w:rFonts w:hint="eastAsia"/>
            </w:rPr>
            <w:t>守牢生态环境安全底线</w:t>
          </w:r>
          <w:r>
            <w:tab/>
          </w:r>
          <w:r>
            <w:fldChar w:fldCharType="begin"/>
          </w:r>
          <w:r>
            <w:instrText xml:space="preserve"> PAGEREF _Toc1379 \h </w:instrText>
          </w:r>
          <w:r>
            <w:fldChar w:fldCharType="separate"/>
          </w:r>
          <w:r>
            <w:t>28</w:t>
          </w:r>
          <w:r>
            <w:fldChar w:fldCharType="end"/>
          </w:r>
          <w:r>
            <w:fldChar w:fldCharType="end"/>
          </w:r>
        </w:p>
        <w:p w14:paraId="483579AA">
          <w:pPr>
            <w:pStyle w:val="23"/>
            <w:tabs>
              <w:tab w:val="right" w:leader="dot" w:pos="8306"/>
            </w:tabs>
          </w:pPr>
          <w:r>
            <w:fldChar w:fldCharType="begin"/>
          </w:r>
          <w:r>
            <w:instrText xml:space="preserve"> HYPERLINK \l _Toc6868 </w:instrText>
          </w:r>
          <w:r>
            <w:fldChar w:fldCharType="separate"/>
          </w:r>
          <w:r>
            <w:rPr>
              <w:rFonts w:hint="eastAsia"/>
            </w:rPr>
            <w:t>第一节</w:t>
          </w:r>
          <w:r>
            <w:rPr>
              <w:rFonts w:ascii="方正小标宋简体"/>
            </w:rPr>
            <w:t> </w:t>
          </w:r>
          <w:r>
            <w:rPr>
              <w:rFonts w:hint="eastAsia" w:ascii="方正小标宋简体"/>
              <w:lang w:val="en-US" w:eastAsia="zh-CN"/>
            </w:rPr>
            <w:t>提升小金</w:t>
          </w:r>
          <w:r>
            <w:rPr>
              <w:rFonts w:hint="eastAsia"/>
            </w:rPr>
            <w:t>气候</w:t>
          </w:r>
          <w:r>
            <w:rPr>
              <w:rFonts w:hint="eastAsia"/>
              <w:lang w:val="en-US" w:eastAsia="zh-CN"/>
            </w:rPr>
            <w:t>韧性</w:t>
          </w:r>
          <w:r>
            <w:tab/>
          </w:r>
          <w:r>
            <w:fldChar w:fldCharType="begin"/>
          </w:r>
          <w:r>
            <w:instrText xml:space="preserve"> PAGEREF _Toc6868 \h </w:instrText>
          </w:r>
          <w:r>
            <w:fldChar w:fldCharType="separate"/>
          </w:r>
          <w:r>
            <w:t>28</w:t>
          </w:r>
          <w:r>
            <w:fldChar w:fldCharType="end"/>
          </w:r>
          <w:r>
            <w:fldChar w:fldCharType="end"/>
          </w:r>
        </w:p>
        <w:p w14:paraId="13385B96">
          <w:pPr>
            <w:pStyle w:val="23"/>
            <w:tabs>
              <w:tab w:val="right" w:leader="dot" w:pos="8306"/>
            </w:tabs>
          </w:pPr>
          <w:r>
            <w:fldChar w:fldCharType="begin"/>
          </w:r>
          <w:r>
            <w:instrText xml:space="preserve"> HYPERLINK \l _Toc4969 </w:instrText>
          </w:r>
          <w:r>
            <w:fldChar w:fldCharType="separate"/>
          </w:r>
          <w:r>
            <w:rPr>
              <w:rFonts w:hint="eastAsia"/>
            </w:rPr>
            <w:t>第二节</w:t>
          </w:r>
          <w:r>
            <w:rPr>
              <w:rFonts w:ascii="方正小标宋简体"/>
            </w:rPr>
            <w:t> </w:t>
          </w:r>
          <w:r>
            <w:rPr>
              <w:rFonts w:hint="eastAsia"/>
            </w:rPr>
            <w:t>加强生物安全管理</w:t>
          </w:r>
          <w:r>
            <w:tab/>
          </w:r>
          <w:r>
            <w:fldChar w:fldCharType="begin"/>
          </w:r>
          <w:r>
            <w:instrText xml:space="preserve"> PAGEREF _Toc4969 \h </w:instrText>
          </w:r>
          <w:r>
            <w:fldChar w:fldCharType="separate"/>
          </w:r>
          <w:r>
            <w:t>28</w:t>
          </w:r>
          <w:r>
            <w:fldChar w:fldCharType="end"/>
          </w:r>
          <w:r>
            <w:fldChar w:fldCharType="end"/>
          </w:r>
        </w:p>
        <w:p w14:paraId="7CF513B9">
          <w:pPr>
            <w:pStyle w:val="23"/>
            <w:tabs>
              <w:tab w:val="right" w:leader="dot" w:pos="8306"/>
            </w:tabs>
          </w:pPr>
          <w:r>
            <w:fldChar w:fldCharType="begin"/>
          </w:r>
          <w:r>
            <w:instrText xml:space="preserve"> HYPERLINK \l _Toc4576 </w:instrText>
          </w:r>
          <w:r>
            <w:fldChar w:fldCharType="separate"/>
          </w:r>
          <w:r>
            <w:rPr>
              <w:rFonts w:hint="eastAsia"/>
            </w:rPr>
            <w:t>第三节</w:t>
          </w:r>
          <w:r>
            <w:rPr>
              <w:rFonts w:ascii="方正小标宋简体"/>
            </w:rPr>
            <w:t> </w:t>
          </w:r>
          <w:r>
            <w:rPr>
              <w:rFonts w:hint="eastAsia"/>
            </w:rPr>
            <w:t>维护生态环境安全</w:t>
          </w:r>
          <w:r>
            <w:tab/>
          </w:r>
          <w:r>
            <w:fldChar w:fldCharType="begin"/>
          </w:r>
          <w:r>
            <w:instrText xml:space="preserve"> PAGEREF _Toc4576 \h </w:instrText>
          </w:r>
          <w:r>
            <w:fldChar w:fldCharType="separate"/>
          </w:r>
          <w:r>
            <w:t>29</w:t>
          </w:r>
          <w:r>
            <w:fldChar w:fldCharType="end"/>
          </w:r>
          <w:r>
            <w:fldChar w:fldCharType="end"/>
          </w:r>
        </w:p>
        <w:p w14:paraId="17FFF2F2">
          <w:pPr>
            <w:pStyle w:val="23"/>
            <w:tabs>
              <w:tab w:val="right" w:leader="dot" w:pos="8306"/>
            </w:tabs>
          </w:pPr>
          <w:r>
            <w:fldChar w:fldCharType="begin"/>
          </w:r>
          <w:r>
            <w:instrText xml:space="preserve"> HYPERLINK \l _Toc25859 </w:instrText>
          </w:r>
          <w:r>
            <w:fldChar w:fldCharType="separate"/>
          </w:r>
          <w:r>
            <w:rPr>
              <w:bCs/>
            </w:rPr>
            <w:t>专栏</w:t>
          </w:r>
          <w:r>
            <w:rPr>
              <w:rFonts w:hint="eastAsia"/>
              <w:bCs/>
            </w:rPr>
            <w:t>五</w:t>
          </w:r>
          <w:r>
            <w:rPr>
              <w:bCs/>
            </w:rPr>
            <w:t xml:space="preserve">  </w:t>
          </w:r>
          <w:r>
            <w:rPr>
              <w:rFonts w:hint="eastAsia"/>
              <w:bCs/>
            </w:rPr>
            <w:t>生态环境安全</w:t>
          </w:r>
          <w:r>
            <w:rPr>
              <w:bCs/>
            </w:rPr>
            <w:t>重点项目</w:t>
          </w:r>
          <w:r>
            <w:tab/>
          </w:r>
          <w:r>
            <w:fldChar w:fldCharType="begin"/>
          </w:r>
          <w:r>
            <w:instrText xml:space="preserve"> PAGEREF _Toc25859 \h </w:instrText>
          </w:r>
          <w:r>
            <w:fldChar w:fldCharType="separate"/>
          </w:r>
          <w:r>
            <w:t>30</w:t>
          </w:r>
          <w:r>
            <w:fldChar w:fldCharType="end"/>
          </w:r>
          <w:r>
            <w:fldChar w:fldCharType="end"/>
          </w:r>
        </w:p>
        <w:p w14:paraId="7F1D3EEB">
          <w:pPr>
            <w:pStyle w:val="20"/>
            <w:tabs>
              <w:tab w:val="right" w:leader="dot" w:pos="8306"/>
            </w:tabs>
          </w:pPr>
          <w:r>
            <w:fldChar w:fldCharType="begin"/>
          </w:r>
          <w:r>
            <w:instrText xml:space="preserve"> HYPERLINK \l _Toc10866 </w:instrText>
          </w:r>
          <w:r>
            <w:fldChar w:fldCharType="separate"/>
          </w:r>
          <w:r>
            <w:rPr>
              <w:rFonts w:hint="eastAsia"/>
            </w:rPr>
            <w:t>第</w:t>
          </w:r>
          <w:r>
            <w:rPr>
              <w:rFonts w:hint="eastAsia"/>
              <w:lang w:val="en-US" w:eastAsia="zh-CN"/>
            </w:rPr>
            <w:t>七</w:t>
          </w:r>
          <w:r>
            <w:rPr>
              <w:rFonts w:hint="eastAsia"/>
            </w:rPr>
            <w:t>章</w:t>
          </w:r>
          <w:r>
            <w:rPr>
              <w:rFonts w:ascii="方正小标宋简体"/>
            </w:rPr>
            <w:t> </w:t>
          </w:r>
          <w:r>
            <w:rPr>
              <w:rFonts w:hint="eastAsia" w:ascii="方正小标宋简体"/>
            </w:rPr>
            <w:t>健全生态环境保障</w:t>
          </w:r>
          <w:r>
            <w:rPr>
              <w:rFonts w:hint="eastAsia"/>
            </w:rPr>
            <w:t>体系</w:t>
          </w:r>
          <w:r>
            <w:tab/>
          </w:r>
          <w:r>
            <w:fldChar w:fldCharType="begin"/>
          </w:r>
          <w:r>
            <w:instrText xml:space="preserve"> PAGEREF _Toc10866 \h </w:instrText>
          </w:r>
          <w:r>
            <w:fldChar w:fldCharType="separate"/>
          </w:r>
          <w:r>
            <w:t>31</w:t>
          </w:r>
          <w:r>
            <w:fldChar w:fldCharType="end"/>
          </w:r>
          <w:r>
            <w:fldChar w:fldCharType="end"/>
          </w:r>
        </w:p>
        <w:p w14:paraId="1C2BBDA8">
          <w:pPr>
            <w:pStyle w:val="23"/>
            <w:tabs>
              <w:tab w:val="right" w:leader="dot" w:pos="8306"/>
            </w:tabs>
          </w:pPr>
          <w:r>
            <w:fldChar w:fldCharType="begin"/>
          </w:r>
          <w:r>
            <w:instrText xml:space="preserve"> HYPERLINK \l _Toc24140 </w:instrText>
          </w:r>
          <w:r>
            <w:fldChar w:fldCharType="separate"/>
          </w:r>
          <w:r>
            <w:rPr>
              <w:rFonts w:hint="eastAsia"/>
            </w:rPr>
            <w:t>第一节</w:t>
          </w:r>
          <w:r>
            <w:rPr>
              <w:rFonts w:ascii="方正小标宋简体"/>
            </w:rPr>
            <w:t> </w:t>
          </w:r>
          <w:r>
            <w:rPr>
              <w:rFonts w:hint="eastAsia"/>
            </w:rPr>
            <w:t>健全生态环境治理体系</w:t>
          </w:r>
          <w:r>
            <w:tab/>
          </w:r>
          <w:r>
            <w:fldChar w:fldCharType="begin"/>
          </w:r>
          <w:r>
            <w:instrText xml:space="preserve"> PAGEREF _Toc24140 \h </w:instrText>
          </w:r>
          <w:r>
            <w:fldChar w:fldCharType="separate"/>
          </w:r>
          <w:r>
            <w:t>31</w:t>
          </w:r>
          <w:r>
            <w:fldChar w:fldCharType="end"/>
          </w:r>
          <w:r>
            <w:fldChar w:fldCharType="end"/>
          </w:r>
        </w:p>
        <w:p w14:paraId="1C4CE13E">
          <w:pPr>
            <w:pStyle w:val="23"/>
            <w:tabs>
              <w:tab w:val="right" w:leader="dot" w:pos="8306"/>
            </w:tabs>
          </w:pPr>
          <w:r>
            <w:fldChar w:fldCharType="begin"/>
          </w:r>
          <w:r>
            <w:instrText xml:space="preserve"> HYPERLINK \l _Toc13371 </w:instrText>
          </w:r>
          <w:r>
            <w:fldChar w:fldCharType="separate"/>
          </w:r>
          <w:r>
            <w:rPr>
              <w:rFonts w:hint="eastAsia"/>
            </w:rPr>
            <w:t>第二节</w:t>
          </w:r>
          <w:r>
            <w:rPr>
              <w:rFonts w:ascii="方正小标宋简体"/>
            </w:rPr>
            <w:t> </w:t>
          </w:r>
          <w:r>
            <w:rPr>
              <w:rFonts w:hint="eastAsia"/>
            </w:rPr>
            <w:t>强化市场机制激励引导</w:t>
          </w:r>
          <w:r>
            <w:tab/>
          </w:r>
          <w:r>
            <w:fldChar w:fldCharType="begin"/>
          </w:r>
          <w:r>
            <w:instrText xml:space="preserve"> PAGEREF _Toc13371 \h </w:instrText>
          </w:r>
          <w:r>
            <w:fldChar w:fldCharType="separate"/>
          </w:r>
          <w:r>
            <w:t>31</w:t>
          </w:r>
          <w:r>
            <w:fldChar w:fldCharType="end"/>
          </w:r>
          <w:r>
            <w:fldChar w:fldCharType="end"/>
          </w:r>
        </w:p>
        <w:p w14:paraId="01CA371E">
          <w:pPr>
            <w:pStyle w:val="23"/>
            <w:tabs>
              <w:tab w:val="right" w:leader="dot" w:pos="8306"/>
            </w:tabs>
          </w:pPr>
          <w:r>
            <w:fldChar w:fldCharType="begin"/>
          </w:r>
          <w:r>
            <w:instrText xml:space="preserve"> HYPERLINK \l _Toc9259 </w:instrText>
          </w:r>
          <w:r>
            <w:fldChar w:fldCharType="separate"/>
          </w:r>
          <w:r>
            <w:rPr>
              <w:rFonts w:hint="eastAsia"/>
            </w:rPr>
            <w:t>第三节</w:t>
          </w:r>
          <w:r>
            <w:rPr>
              <w:rFonts w:ascii="方正小标宋简体"/>
            </w:rPr>
            <w:t> </w:t>
          </w:r>
          <w:r>
            <w:rPr>
              <w:rFonts w:hint="eastAsia" w:ascii="方正小标宋简体"/>
            </w:rPr>
            <w:t>优化生态环境监测网络</w:t>
          </w:r>
          <w:r>
            <w:tab/>
          </w:r>
          <w:r>
            <w:fldChar w:fldCharType="begin"/>
          </w:r>
          <w:r>
            <w:instrText xml:space="preserve"> PAGEREF _Toc9259 \h </w:instrText>
          </w:r>
          <w:r>
            <w:fldChar w:fldCharType="separate"/>
          </w:r>
          <w:r>
            <w:t>32</w:t>
          </w:r>
          <w:r>
            <w:fldChar w:fldCharType="end"/>
          </w:r>
          <w:r>
            <w:fldChar w:fldCharType="end"/>
          </w:r>
        </w:p>
        <w:p w14:paraId="21E2D10E">
          <w:pPr>
            <w:pStyle w:val="23"/>
            <w:tabs>
              <w:tab w:val="right" w:leader="dot" w:pos="8306"/>
            </w:tabs>
          </w:pPr>
          <w:r>
            <w:fldChar w:fldCharType="begin"/>
          </w:r>
          <w:r>
            <w:instrText xml:space="preserve"> HYPERLINK \l _Toc27796 </w:instrText>
          </w:r>
          <w:r>
            <w:fldChar w:fldCharType="separate"/>
          </w:r>
          <w:r>
            <w:rPr>
              <w:rFonts w:hint="eastAsia"/>
            </w:rPr>
            <w:t>第四节   强化综合执法能力</w:t>
          </w:r>
          <w:r>
            <w:tab/>
          </w:r>
          <w:r>
            <w:fldChar w:fldCharType="begin"/>
          </w:r>
          <w:r>
            <w:instrText xml:space="preserve"> PAGEREF _Toc27796 \h </w:instrText>
          </w:r>
          <w:r>
            <w:fldChar w:fldCharType="separate"/>
          </w:r>
          <w:r>
            <w:t>32</w:t>
          </w:r>
          <w:r>
            <w:fldChar w:fldCharType="end"/>
          </w:r>
          <w:r>
            <w:fldChar w:fldCharType="end"/>
          </w:r>
        </w:p>
        <w:p w14:paraId="7AE7A390">
          <w:pPr>
            <w:pStyle w:val="23"/>
            <w:tabs>
              <w:tab w:val="right" w:leader="dot" w:pos="8306"/>
            </w:tabs>
          </w:pPr>
          <w:r>
            <w:fldChar w:fldCharType="begin"/>
          </w:r>
          <w:r>
            <w:instrText xml:space="preserve"> HYPERLINK \l _Toc16988 </w:instrText>
          </w:r>
          <w:r>
            <w:fldChar w:fldCharType="separate"/>
          </w:r>
          <w:r>
            <w:rPr>
              <w:rFonts w:hint="eastAsia"/>
            </w:rPr>
            <w:t>第五节</w:t>
          </w:r>
          <w:r>
            <w:rPr>
              <w:rFonts w:ascii="方正小标宋简体"/>
            </w:rPr>
            <w:t> </w:t>
          </w:r>
          <w:r>
            <w:rPr>
              <w:rFonts w:hint="eastAsia"/>
            </w:rPr>
            <w:t>加强科技人才培养</w:t>
          </w:r>
          <w:r>
            <w:tab/>
          </w:r>
          <w:r>
            <w:fldChar w:fldCharType="begin"/>
          </w:r>
          <w:r>
            <w:instrText xml:space="preserve"> PAGEREF _Toc16988 \h </w:instrText>
          </w:r>
          <w:r>
            <w:fldChar w:fldCharType="separate"/>
          </w:r>
          <w:r>
            <w:t>33</w:t>
          </w:r>
          <w:r>
            <w:fldChar w:fldCharType="end"/>
          </w:r>
          <w:r>
            <w:fldChar w:fldCharType="end"/>
          </w:r>
        </w:p>
        <w:p w14:paraId="62A1577E">
          <w:pPr>
            <w:pStyle w:val="20"/>
            <w:tabs>
              <w:tab w:val="right" w:leader="dot" w:pos="8306"/>
            </w:tabs>
          </w:pPr>
          <w:r>
            <w:fldChar w:fldCharType="begin"/>
          </w:r>
          <w:r>
            <w:instrText xml:space="preserve"> HYPERLINK \l _Toc3311 </w:instrText>
          </w:r>
          <w:r>
            <w:fldChar w:fldCharType="separate"/>
          </w:r>
          <w:r>
            <w:rPr>
              <w:rFonts w:hint="eastAsia"/>
            </w:rPr>
            <w:t>附件：重点项目</w:t>
          </w:r>
          <w:r>
            <w:tab/>
          </w:r>
          <w:r>
            <w:fldChar w:fldCharType="begin"/>
          </w:r>
          <w:r>
            <w:instrText xml:space="preserve"> PAGEREF _Toc3311 \h </w:instrText>
          </w:r>
          <w:r>
            <w:fldChar w:fldCharType="separate"/>
          </w:r>
          <w:r>
            <w:t>34</w:t>
          </w:r>
          <w:r>
            <w:fldChar w:fldCharType="end"/>
          </w:r>
          <w:r>
            <w:fldChar w:fldCharType="end"/>
          </w:r>
        </w:p>
        <w:p w14:paraId="6C0C0587">
          <w:pPr>
            <w:pStyle w:val="20"/>
            <w:tabs>
              <w:tab w:val="right" w:leader="dot" w:pos="8306"/>
            </w:tabs>
            <w:ind w:firstLine="0" w:firstLineChars="0"/>
          </w:pPr>
          <w:r>
            <w:fldChar w:fldCharType="end"/>
          </w:r>
        </w:p>
      </w:sdtContent>
    </w:sdt>
    <w:p w14:paraId="243CFACA">
      <w:pPr>
        <w:pStyle w:val="3"/>
        <w:spacing w:before="156" w:after="156"/>
        <w:ind w:firstLine="640"/>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526DDCD7">
      <w:pPr>
        <w:pStyle w:val="3"/>
        <w:spacing w:before="156" w:after="156"/>
        <w:rPr>
          <w:rFonts w:ascii="方正小标宋简体"/>
        </w:rPr>
      </w:pPr>
      <w:bookmarkStart w:id="0" w:name="_Toc1790"/>
      <w:bookmarkStart w:id="1" w:name="_Toc2172"/>
      <w:bookmarkStart w:id="2" w:name="_Toc3866"/>
      <w:r>
        <w:rPr>
          <w:rFonts w:hint="eastAsia" w:ascii="方正小标宋简体"/>
        </w:rPr>
        <w:t>前言</w:t>
      </w:r>
      <w:bookmarkEnd w:id="0"/>
      <w:bookmarkEnd w:id="1"/>
      <w:bookmarkEnd w:id="2"/>
    </w:p>
    <w:p w14:paraId="3605A26A">
      <w:pPr>
        <w:spacing w:line="600" w:lineRule="exact"/>
        <w:ind w:firstLine="640"/>
        <w:rPr>
          <w:rFonts w:hint="eastAsia"/>
        </w:rPr>
      </w:pPr>
      <w:r>
        <w:rPr>
          <w:rFonts w:hint="eastAsia"/>
        </w:rPr>
        <w:t>“十五五”是基本实现社会主义现代化承上启下的重要时期，也是污染防治攻坚从系统治理向美丽中国建设延伸的全新阶段，更是</w:t>
      </w:r>
      <w:r>
        <w:rPr>
          <w:rFonts w:hint="eastAsia"/>
          <w:lang w:val="en-US" w:eastAsia="zh-CN"/>
        </w:rPr>
        <w:t>小金</w:t>
      </w:r>
      <w:r>
        <w:rPr>
          <w:rFonts w:hint="eastAsia"/>
        </w:rPr>
        <w:t>县深入推进美丽</w:t>
      </w:r>
      <w:r>
        <w:rPr>
          <w:rFonts w:hint="eastAsia"/>
          <w:lang w:val="en-US" w:eastAsia="zh-CN"/>
        </w:rPr>
        <w:t>小金</w:t>
      </w:r>
      <w:r>
        <w:rPr>
          <w:rFonts w:hint="eastAsia"/>
        </w:rPr>
        <w:t>建设</w:t>
      </w:r>
      <w:r>
        <w:rPr>
          <w:rFonts w:hint="eastAsia"/>
          <w:lang w:eastAsia="zh-CN"/>
        </w:rPr>
        <w:t>、</w:t>
      </w:r>
      <w:r>
        <w:rPr>
          <w:rFonts w:hint="eastAsia"/>
          <w:lang w:val="en-US" w:eastAsia="zh-CN"/>
        </w:rPr>
        <w:t>经济社会绿色转型</w:t>
      </w:r>
      <w:r>
        <w:rPr>
          <w:rFonts w:hint="eastAsia"/>
        </w:rPr>
        <w:t>、全面改善生态环境质量的关键五年。</w:t>
      </w:r>
    </w:p>
    <w:p w14:paraId="5BBE0C8E">
      <w:pPr>
        <w:spacing w:line="600" w:lineRule="exact"/>
        <w:ind w:firstLine="640"/>
        <w:rPr>
          <w:highlight w:val="yellow"/>
        </w:rPr>
      </w:pPr>
      <w:r>
        <w:rPr>
          <w:rFonts w:hint="eastAsia"/>
        </w:rPr>
        <w:t>全面贯彻党的二十大和二十届历次全会精神，深入贯彻习近平生态文明思想和习近平总书记对四川工作系列重要指示精神，按照省委“四化同步、城乡融合、五区共兴”为总抓手全面推进四川现代化建设战略部署，紧扣州委“1610”总体工作格局，贯彻落实《小金县国民经济和社会发展第十五个五年规划纲要》，围绕“坚决扛起筑牢长江上游生态屏障的政治责任，在保护‘中华水塔’、维护国家生态安全中筑牢小金屏障”的使命任务，按照“生态优先、文旅赋能、城乡协调、开放联动”的工作主线，严守“三片两廊”生态安全格局，坚持目标导向、问题导向、需求导向、效果导向，以全面建设美丽小金为牵引，科学谋划“十五五”生态环境保护的重点任务与重大工程，为实现高水平生态环境保护支撑小金县“十五五”高质量发展奠定基础。</w:t>
      </w:r>
    </w:p>
    <w:p w14:paraId="24F4855F">
      <w:pPr>
        <w:widowControl/>
        <w:ind w:firstLine="0" w:firstLineChars="0"/>
        <w:jc w:val="left"/>
        <w:rPr>
          <w:rFonts w:eastAsia="方正小标宋简体"/>
          <w:bCs/>
          <w:kern w:val="44"/>
          <w:sz w:val="36"/>
          <w:szCs w:val="44"/>
        </w:rPr>
      </w:pPr>
      <w:r>
        <w:br w:type="page"/>
      </w:r>
    </w:p>
    <w:p w14:paraId="72449B13">
      <w:pPr>
        <w:pStyle w:val="3"/>
        <w:spacing w:before="156" w:after="156"/>
      </w:pPr>
      <w:bookmarkStart w:id="3" w:name="_Toc26268"/>
      <w:bookmarkStart w:id="4" w:name="_Toc9456"/>
      <w:bookmarkStart w:id="5" w:name="_Toc20168"/>
      <w:r>
        <w:rPr>
          <w:rFonts w:hint="eastAsia"/>
        </w:rPr>
        <w:t>第</w:t>
      </w:r>
      <w:r>
        <w:rPr>
          <w:rFonts w:hint="eastAsia"/>
          <w:lang w:val="en-US" w:eastAsia="zh-CN"/>
        </w:rPr>
        <w:t>一</w:t>
      </w:r>
      <w:r>
        <w:rPr>
          <w:rFonts w:hint="eastAsia"/>
        </w:rPr>
        <w:t>章</w:t>
      </w:r>
      <w:r>
        <w:rPr>
          <w:rFonts w:ascii="方正小标宋简体"/>
        </w:rPr>
        <w:t> </w:t>
      </w:r>
      <w:r>
        <w:rPr>
          <w:rFonts w:hint="eastAsia"/>
        </w:rPr>
        <w:t>总体要求</w:t>
      </w:r>
      <w:bookmarkEnd w:id="3"/>
      <w:bookmarkEnd w:id="4"/>
      <w:bookmarkEnd w:id="5"/>
    </w:p>
    <w:p w14:paraId="4CFE111A">
      <w:pPr>
        <w:pStyle w:val="4"/>
        <w:spacing w:before="156" w:after="156"/>
      </w:pPr>
      <w:bookmarkStart w:id="6" w:name="_Toc32392"/>
      <w:bookmarkStart w:id="7" w:name="_Toc7134"/>
      <w:bookmarkStart w:id="8" w:name="_Toc27921"/>
      <w:r>
        <w:rPr>
          <w:rFonts w:hint="eastAsia"/>
        </w:rPr>
        <w:t>第一节</w:t>
      </w:r>
      <w:r>
        <w:rPr>
          <w:rFonts w:ascii="方正小标宋简体"/>
        </w:rPr>
        <w:t> </w:t>
      </w:r>
      <w:r>
        <w:rPr>
          <w:rFonts w:hint="eastAsia"/>
        </w:rPr>
        <w:t>指导思想</w:t>
      </w:r>
      <w:bookmarkEnd w:id="6"/>
      <w:bookmarkEnd w:id="7"/>
      <w:bookmarkEnd w:id="8"/>
    </w:p>
    <w:p w14:paraId="49E2ED2F">
      <w:pPr>
        <w:topLinePunct/>
        <w:spacing w:line="600" w:lineRule="exact"/>
        <w:ind w:firstLine="640"/>
        <w:rPr>
          <w:color w:val="000000"/>
          <w:szCs w:val="32"/>
        </w:rPr>
      </w:pPr>
      <w:r>
        <w:rPr>
          <w:rFonts w:hint="eastAsia"/>
        </w:rPr>
        <w:t>坚持以习近平新时代中国特色社会主义思想为指导，</w:t>
      </w:r>
      <w:bookmarkStart w:id="9" w:name="_Hlk178497676"/>
      <w:r>
        <w:rPr>
          <w:rFonts w:hint="eastAsia"/>
        </w:rPr>
        <w:t>全面贯彻党的二十大和二十届历次全会精神，深入贯彻习近平生态文明思想，落实习近平总书记对四川工作系列重要指示精神，</w:t>
      </w:r>
      <w:bookmarkEnd w:id="9"/>
      <w:bookmarkStart w:id="10" w:name="_Hlk178497690"/>
      <w:r>
        <w:rPr>
          <w:rFonts w:hint="eastAsia"/>
          <w:szCs w:val="32"/>
        </w:rPr>
        <w:t>贯彻全国生态环境保护大会部署</w:t>
      </w:r>
      <w:bookmarkEnd w:id="10"/>
      <w:r>
        <w:rPr>
          <w:rFonts w:hint="eastAsia"/>
          <w:szCs w:val="32"/>
        </w:rPr>
        <w:t>，落实省委十二届历次全会精神，完整准确全面贯彻新发展理念，加快构建新发展格局，着力推动高质量发展，紧扣州委“1610”系统部署</w:t>
      </w:r>
      <w:r>
        <w:rPr>
          <w:rFonts w:hint="eastAsia"/>
        </w:rPr>
        <w:t>，尊重自然、顺应自然、保护自然，牢固树立和践行绿水青山就是金山银山的理念，以深化生态文明建设为主线，坚持“生态优先、绿色发展”，推进降碳、减污、扩绿、增长，切实维护生态安全，促进经济社会发展全面绿色转型，实现天更蓝、水更清、山更绿，建设人与自然和谐共生的美丽小金</w:t>
      </w:r>
      <w:r>
        <w:rPr>
          <w:color w:val="000000"/>
          <w:szCs w:val="32"/>
        </w:rPr>
        <w:t>。</w:t>
      </w:r>
    </w:p>
    <w:p w14:paraId="21B1FCA4">
      <w:pPr>
        <w:pStyle w:val="4"/>
        <w:spacing w:before="156" w:after="156"/>
      </w:pPr>
      <w:bookmarkStart w:id="11" w:name="_Toc6016"/>
      <w:bookmarkStart w:id="12" w:name="_Toc7220"/>
      <w:bookmarkStart w:id="13" w:name="_Toc1121"/>
      <w:r>
        <w:rPr>
          <w:rFonts w:hint="eastAsia"/>
        </w:rPr>
        <w:t>第二节</w:t>
      </w:r>
      <w:r>
        <w:rPr>
          <w:rFonts w:ascii="方正小标宋简体"/>
        </w:rPr>
        <w:t> </w:t>
      </w:r>
      <w:r>
        <w:rPr>
          <w:rFonts w:hint="eastAsia"/>
        </w:rPr>
        <w:t>基本原则</w:t>
      </w:r>
      <w:bookmarkEnd w:id="11"/>
      <w:bookmarkEnd w:id="12"/>
      <w:bookmarkEnd w:id="13"/>
    </w:p>
    <w:p w14:paraId="4435EDE1">
      <w:pPr>
        <w:spacing w:line="600" w:lineRule="exact"/>
        <w:ind w:firstLine="643"/>
      </w:pPr>
      <w:r>
        <w:rPr>
          <w:rFonts w:hint="eastAsia"/>
          <w:b/>
          <w:bCs/>
        </w:rPr>
        <w:t>坚持生态优先、和谐共生</w:t>
      </w:r>
      <w:r>
        <w:rPr>
          <w:rFonts w:hint="eastAsia"/>
        </w:rPr>
        <w:t>。坚持山水林田湖草是生命共同体，尊重自然、顺应自然、保护自然，科学实施生态系统保护修复，提升生态系统服务功能，筑牢长江上游生态安全屏障。</w:t>
      </w:r>
    </w:p>
    <w:p w14:paraId="63F3A375">
      <w:pPr>
        <w:spacing w:line="600" w:lineRule="exact"/>
        <w:ind w:firstLine="643"/>
      </w:pPr>
      <w:r>
        <w:rPr>
          <w:rFonts w:hint="eastAsia"/>
          <w:b/>
          <w:bCs/>
        </w:rPr>
        <w:t>坚持绿色发展、低碳引领</w:t>
      </w:r>
      <w:r>
        <w:rPr>
          <w:rFonts w:hint="eastAsia"/>
        </w:rPr>
        <w:t>。树立绿水青山就是金山银山理念，在保护中发展，以发展促保护，着力推进绿色、低碳发展，培育壮大生态产业，努力将小金县的生态优势转化为产业优势、发展优势，形成生态产品价值转化的小金路径。</w:t>
      </w:r>
    </w:p>
    <w:p w14:paraId="14D2ADBA">
      <w:pPr>
        <w:pStyle w:val="45"/>
        <w:spacing w:line="600" w:lineRule="exact"/>
        <w:ind w:firstLine="643"/>
      </w:pPr>
      <w:r>
        <w:rPr>
          <w:rFonts w:hint="eastAsia"/>
          <w:b/>
          <w:bCs/>
        </w:rPr>
        <w:t>坚持质量核心、协同增效</w:t>
      </w:r>
      <w:r>
        <w:rPr>
          <w:rFonts w:hint="eastAsia"/>
        </w:rPr>
        <w:t>。以持续改善生态环境质量为核心，统筹生态保护修复和环境治理、城市治理与乡村建设、流域污染防治、生态环境保护与应对气候变化。注重预防和治理结合，减污与增容并重，实现系统保护、综合施策、分类治理。</w:t>
      </w:r>
    </w:p>
    <w:p w14:paraId="715F7376">
      <w:pPr>
        <w:spacing w:line="600" w:lineRule="exact"/>
        <w:ind w:firstLine="643"/>
      </w:pPr>
      <w:r>
        <w:rPr>
          <w:rFonts w:hint="eastAsia"/>
          <w:b/>
          <w:bCs/>
        </w:rPr>
        <w:t>坚持治理创新、共建共享</w:t>
      </w:r>
      <w:r>
        <w:rPr>
          <w:rFonts w:hint="eastAsia"/>
        </w:rPr>
        <w:t>。坚持改革牵引和创新驱动，积极推进生态环境治理体系和治理能力现代化，提升生态环境治理效能。把满足人民日益增长的美好生活需要作为出发点，激发群众内生动力，引导全社会参与生态环境保护，提高发展质量，增进民生福祉，促进社会和谐稳定。</w:t>
      </w:r>
    </w:p>
    <w:p w14:paraId="75DD6D3A">
      <w:pPr>
        <w:pStyle w:val="4"/>
        <w:spacing w:before="156" w:after="156"/>
      </w:pPr>
      <w:bookmarkStart w:id="14" w:name="_Toc27820"/>
      <w:bookmarkStart w:id="15" w:name="_Toc22396"/>
      <w:bookmarkStart w:id="16" w:name="_Toc9617"/>
      <w:r>
        <w:rPr>
          <w:rFonts w:hint="eastAsia"/>
        </w:rPr>
        <w:t>第三节</w:t>
      </w:r>
      <w:r>
        <w:rPr>
          <w:rFonts w:ascii="方正小标宋简体"/>
        </w:rPr>
        <w:t> </w:t>
      </w:r>
      <w:r>
        <w:rPr>
          <w:rFonts w:hint="eastAsia"/>
        </w:rPr>
        <w:t>目标愿景</w:t>
      </w:r>
      <w:bookmarkEnd w:id="14"/>
      <w:bookmarkEnd w:id="15"/>
      <w:bookmarkEnd w:id="16"/>
    </w:p>
    <w:p w14:paraId="4AB4318C">
      <w:pPr>
        <w:spacing w:line="600" w:lineRule="exact"/>
        <w:ind w:firstLine="643"/>
      </w:pPr>
      <w:r>
        <w:rPr>
          <w:rFonts w:hint="eastAsia"/>
          <w:b/>
          <w:bCs/>
          <w:lang w:val="zh-CN" w:bidi="zh-CN"/>
        </w:rPr>
        <w:t>到2030年，</w:t>
      </w:r>
      <w:r>
        <w:rPr>
          <w:rFonts w:hint="eastAsia"/>
          <w:lang w:val="zh-CN" w:bidi="zh-CN"/>
        </w:rPr>
        <w:t>碳达峰目标实现，国土空间开发保护格局进一步优化，生态系统服务功能不断增强，生态环境质量全面改善，全域地表水水质达到或优于Ⅱ类标准，比例保持100%，环境空气质量优良天数比例稳定保持在100%，集中式饮用水水源地水质持续保持达标100%，森林覆盖率稳定保持不低于30.</w:t>
      </w:r>
      <w:r>
        <w:rPr>
          <w:lang w:val="zh-CN" w:bidi="zh-CN"/>
        </w:rPr>
        <w:t>21</w:t>
      </w:r>
      <w:r>
        <w:rPr>
          <w:rFonts w:hint="eastAsia"/>
          <w:lang w:val="zh-CN" w:bidi="zh-CN"/>
        </w:rPr>
        <w:t>%，生态保护红线面积不减少、功能不降低。</w:t>
      </w:r>
      <w:r>
        <w:rPr>
          <w:rFonts w:hint="eastAsia"/>
        </w:rPr>
        <w:t>绿色低碳生产生活方式加快形成，</w:t>
      </w:r>
      <w:r>
        <w:rPr>
          <w:rFonts w:hint="eastAsia"/>
          <w:lang w:val="zh-CN" w:bidi="zh-CN"/>
        </w:rPr>
        <w:t>城乡人居生活品质明显提高，</w:t>
      </w:r>
      <w:bookmarkStart w:id="17" w:name="_Hlk181798293"/>
      <w:r>
        <w:rPr>
          <w:rFonts w:hint="eastAsia"/>
          <w:lang w:bidi="zh-CN"/>
        </w:rPr>
        <w:t>生态安全有效保障，</w:t>
      </w:r>
      <w:bookmarkEnd w:id="17"/>
      <w:r>
        <w:rPr>
          <w:rFonts w:hint="eastAsia"/>
          <w:lang w:bidi="zh-CN"/>
        </w:rPr>
        <w:t>生态环境治理体系更加健全，</w:t>
      </w:r>
      <w:r>
        <w:rPr>
          <w:rFonts w:hint="eastAsia"/>
        </w:rPr>
        <w:t>建成一批各具特色的美丽细胞，生态文明制度体系更加健全，建成“绿水青山就是金山银山”实践创新基地。</w:t>
      </w:r>
    </w:p>
    <w:p w14:paraId="7DDD9BDA">
      <w:pPr>
        <w:pStyle w:val="4"/>
        <w:spacing w:before="156" w:after="156"/>
      </w:pPr>
      <w:bookmarkStart w:id="18" w:name="_Toc27213"/>
      <w:bookmarkStart w:id="19" w:name="_Toc1126"/>
      <w:bookmarkStart w:id="20" w:name="_Toc6382"/>
      <w:r>
        <w:rPr>
          <w:rFonts w:hint="eastAsia"/>
        </w:rPr>
        <w:t>第四节</w:t>
      </w:r>
      <w:r>
        <w:rPr>
          <w:rFonts w:ascii="方正小标宋简体"/>
        </w:rPr>
        <w:t> </w:t>
      </w:r>
      <w:r>
        <w:rPr>
          <w:rFonts w:hint="eastAsia"/>
        </w:rPr>
        <w:t>规划指标</w:t>
      </w:r>
      <w:bookmarkEnd w:id="18"/>
      <w:bookmarkEnd w:id="19"/>
      <w:bookmarkEnd w:id="20"/>
    </w:p>
    <w:p w14:paraId="39B0EBCA">
      <w:pPr>
        <w:topLinePunct/>
        <w:ind w:firstLine="0" w:firstLineChars="0"/>
        <w:jc w:val="center"/>
        <w:rPr>
          <w:rFonts w:ascii="黑体" w:hAnsi="黑体" w:eastAsia="黑体"/>
          <w:color w:val="000000"/>
          <w:sz w:val="21"/>
          <w:szCs w:val="21"/>
        </w:rPr>
      </w:pPr>
      <w:r>
        <w:rPr>
          <w:rFonts w:hint="eastAsia" w:ascii="黑体" w:hAnsi="黑体" w:eastAsia="黑体"/>
          <w:color w:val="000000"/>
          <w:sz w:val="21"/>
          <w:szCs w:val="21"/>
        </w:rPr>
        <w:t>表</w:t>
      </w:r>
      <w:r>
        <w:rPr>
          <w:rFonts w:hint="eastAsia" w:ascii="黑体" w:hAnsi="黑体" w:eastAsia="黑体"/>
          <w:color w:val="000000"/>
          <w:sz w:val="21"/>
          <w:szCs w:val="21"/>
          <w:lang w:val="en-US" w:eastAsia="zh-CN"/>
        </w:rPr>
        <w:t>1</w:t>
      </w:r>
      <w:r>
        <w:rPr>
          <w:rFonts w:ascii="方正小标宋简体"/>
          <w:sz w:val="21"/>
          <w:szCs w:val="21"/>
        </w:rPr>
        <w:t> </w:t>
      </w:r>
      <w:r>
        <w:rPr>
          <w:rFonts w:hint="eastAsia" w:ascii="黑体" w:hAnsi="黑体" w:eastAsia="黑体"/>
          <w:color w:val="000000"/>
          <w:sz w:val="21"/>
          <w:szCs w:val="21"/>
        </w:rPr>
        <w:t>小金县“十五五”生态环境保护规划目标指标表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45"/>
        <w:gridCol w:w="616"/>
        <w:gridCol w:w="3691"/>
        <w:gridCol w:w="1095"/>
        <w:gridCol w:w="1500"/>
        <w:gridCol w:w="873"/>
      </w:tblGrid>
      <w:tr w14:paraId="0ECC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blHeader/>
          <w:jc w:val="center"/>
        </w:trPr>
        <w:tc>
          <w:tcPr>
            <w:tcW w:w="383" w:type="pct"/>
            <w:vAlign w:val="center"/>
          </w:tcPr>
          <w:p w14:paraId="535265F2">
            <w:pPr>
              <w:topLinePunct/>
              <w:ind w:firstLine="0" w:firstLineChars="0"/>
              <w:jc w:val="center"/>
              <w:rPr>
                <w:rFonts w:eastAsia="宋体"/>
                <w:b/>
                <w:bCs/>
                <w:color w:val="000000"/>
                <w:sz w:val="21"/>
                <w:szCs w:val="21"/>
              </w:rPr>
            </w:pPr>
            <w:r>
              <w:rPr>
                <w:rFonts w:hint="eastAsia" w:eastAsia="宋体"/>
                <w:b/>
                <w:bCs/>
                <w:color w:val="000000"/>
                <w:sz w:val="21"/>
                <w:szCs w:val="21"/>
              </w:rPr>
              <w:t>领域</w:t>
            </w:r>
          </w:p>
        </w:tc>
        <w:tc>
          <w:tcPr>
            <w:tcW w:w="366" w:type="pct"/>
            <w:vAlign w:val="center"/>
          </w:tcPr>
          <w:p w14:paraId="1B1DCC48">
            <w:pPr>
              <w:topLinePunct/>
              <w:ind w:firstLine="0" w:firstLineChars="0"/>
              <w:jc w:val="center"/>
              <w:rPr>
                <w:rFonts w:eastAsia="宋体"/>
                <w:b/>
                <w:bCs/>
                <w:color w:val="000000"/>
                <w:sz w:val="21"/>
                <w:szCs w:val="21"/>
              </w:rPr>
            </w:pPr>
            <w:r>
              <w:rPr>
                <w:rFonts w:hint="eastAsia" w:eastAsia="宋体"/>
                <w:b/>
                <w:bCs/>
                <w:color w:val="000000"/>
                <w:sz w:val="21"/>
                <w:szCs w:val="21"/>
              </w:rPr>
              <w:t>序号</w:t>
            </w:r>
          </w:p>
        </w:tc>
        <w:tc>
          <w:tcPr>
            <w:tcW w:w="2192" w:type="pct"/>
            <w:vAlign w:val="center"/>
          </w:tcPr>
          <w:p w14:paraId="6132B80D">
            <w:pPr>
              <w:topLinePunct/>
              <w:ind w:firstLine="0" w:firstLineChars="0"/>
              <w:jc w:val="center"/>
              <w:rPr>
                <w:rFonts w:eastAsia="宋体"/>
                <w:b/>
                <w:bCs/>
                <w:color w:val="000000"/>
                <w:sz w:val="21"/>
                <w:szCs w:val="21"/>
              </w:rPr>
            </w:pPr>
            <w:r>
              <w:rPr>
                <w:rFonts w:hint="eastAsia" w:eastAsia="宋体"/>
                <w:b/>
                <w:bCs/>
                <w:color w:val="000000"/>
                <w:sz w:val="21"/>
                <w:szCs w:val="21"/>
              </w:rPr>
              <w:t>指标</w:t>
            </w:r>
          </w:p>
        </w:tc>
        <w:tc>
          <w:tcPr>
            <w:tcW w:w="650" w:type="pct"/>
            <w:vAlign w:val="center"/>
          </w:tcPr>
          <w:p w14:paraId="71CBB904">
            <w:pPr>
              <w:topLinePunct/>
              <w:ind w:firstLine="0" w:firstLineChars="0"/>
              <w:jc w:val="center"/>
              <w:rPr>
                <w:rFonts w:eastAsia="宋体"/>
                <w:b/>
                <w:bCs/>
                <w:color w:val="000000"/>
                <w:sz w:val="21"/>
                <w:szCs w:val="21"/>
              </w:rPr>
            </w:pPr>
            <w:r>
              <w:rPr>
                <w:rFonts w:hint="eastAsia" w:eastAsia="宋体"/>
                <w:b/>
                <w:bCs/>
                <w:color w:val="000000"/>
                <w:sz w:val="21"/>
                <w:szCs w:val="21"/>
              </w:rPr>
              <w:t>规划基数</w:t>
            </w:r>
          </w:p>
        </w:tc>
        <w:tc>
          <w:tcPr>
            <w:tcW w:w="891" w:type="pct"/>
            <w:vAlign w:val="center"/>
          </w:tcPr>
          <w:p w14:paraId="2F85B6AE">
            <w:pPr>
              <w:topLinePunct/>
              <w:ind w:firstLine="0" w:firstLineChars="0"/>
              <w:jc w:val="center"/>
              <w:rPr>
                <w:rFonts w:eastAsia="宋体"/>
                <w:b/>
                <w:bCs/>
                <w:color w:val="000000"/>
                <w:sz w:val="21"/>
                <w:szCs w:val="21"/>
              </w:rPr>
            </w:pPr>
            <w:r>
              <w:rPr>
                <w:rFonts w:hint="eastAsia" w:eastAsia="宋体"/>
                <w:b/>
                <w:bCs/>
                <w:color w:val="000000"/>
                <w:sz w:val="21"/>
                <w:szCs w:val="21"/>
              </w:rPr>
              <w:t>2030年目标值</w:t>
            </w:r>
          </w:p>
        </w:tc>
        <w:tc>
          <w:tcPr>
            <w:tcW w:w="518" w:type="pct"/>
            <w:vAlign w:val="center"/>
          </w:tcPr>
          <w:p w14:paraId="37BDFE2A">
            <w:pPr>
              <w:topLinePunct/>
              <w:ind w:firstLine="0" w:firstLineChars="0"/>
              <w:jc w:val="center"/>
              <w:rPr>
                <w:rFonts w:eastAsia="宋体"/>
                <w:b/>
                <w:bCs/>
                <w:color w:val="000000"/>
                <w:sz w:val="21"/>
                <w:szCs w:val="21"/>
              </w:rPr>
            </w:pPr>
            <w:r>
              <w:rPr>
                <w:rFonts w:hint="eastAsia" w:eastAsia="宋体"/>
                <w:b/>
                <w:bCs/>
                <w:color w:val="000000"/>
                <w:sz w:val="21"/>
                <w:szCs w:val="21"/>
              </w:rPr>
              <w:t>属性</w:t>
            </w:r>
          </w:p>
        </w:tc>
      </w:tr>
      <w:tr w14:paraId="61FD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restart"/>
            <w:vAlign w:val="center"/>
          </w:tcPr>
          <w:p w14:paraId="5097ADE3">
            <w:pPr>
              <w:topLinePunct/>
              <w:ind w:firstLine="0" w:firstLineChars="0"/>
              <w:jc w:val="center"/>
              <w:rPr>
                <w:rFonts w:eastAsia="宋体"/>
                <w:color w:val="000000"/>
                <w:sz w:val="21"/>
                <w:szCs w:val="21"/>
              </w:rPr>
            </w:pPr>
            <w:r>
              <w:rPr>
                <w:rFonts w:hint="eastAsia" w:eastAsia="宋体"/>
                <w:color w:val="000000"/>
                <w:sz w:val="21"/>
                <w:szCs w:val="21"/>
              </w:rPr>
              <w:t>环境质量改善</w:t>
            </w:r>
          </w:p>
        </w:tc>
        <w:tc>
          <w:tcPr>
            <w:tcW w:w="366" w:type="pct"/>
            <w:vAlign w:val="center"/>
          </w:tcPr>
          <w:p w14:paraId="65F6B7FA">
            <w:pPr>
              <w:topLinePunct/>
              <w:ind w:firstLine="0" w:firstLineChars="0"/>
              <w:jc w:val="center"/>
              <w:rPr>
                <w:rFonts w:eastAsia="宋体"/>
                <w:color w:val="000000"/>
                <w:sz w:val="21"/>
                <w:szCs w:val="21"/>
              </w:rPr>
            </w:pPr>
            <w:r>
              <w:rPr>
                <w:rFonts w:hint="eastAsia" w:eastAsia="宋体"/>
                <w:color w:val="000000"/>
                <w:sz w:val="21"/>
                <w:szCs w:val="21"/>
              </w:rPr>
              <w:t>1</w:t>
            </w:r>
          </w:p>
        </w:tc>
        <w:tc>
          <w:tcPr>
            <w:tcW w:w="2192" w:type="pct"/>
            <w:vAlign w:val="center"/>
          </w:tcPr>
          <w:p w14:paraId="44FCDBD8">
            <w:pPr>
              <w:topLinePunct/>
              <w:ind w:firstLine="0" w:firstLineChars="0"/>
              <w:jc w:val="center"/>
              <w:rPr>
                <w:rFonts w:eastAsia="宋体"/>
                <w:color w:val="000000"/>
                <w:sz w:val="21"/>
                <w:szCs w:val="21"/>
              </w:rPr>
            </w:pPr>
            <w:r>
              <w:rPr>
                <w:rFonts w:eastAsia="宋体"/>
                <w:color w:val="000000"/>
                <w:sz w:val="21"/>
                <w:szCs w:val="21"/>
              </w:rPr>
              <w:t>PM2.5浓度（μg/m</w:t>
            </w:r>
            <w:r>
              <w:rPr>
                <w:rFonts w:eastAsia="宋体"/>
                <w:color w:val="000000"/>
                <w:sz w:val="21"/>
                <w:szCs w:val="21"/>
                <w:vertAlign w:val="superscript"/>
              </w:rPr>
              <w:t>3</w:t>
            </w:r>
            <w:r>
              <w:rPr>
                <w:rFonts w:eastAsia="宋体"/>
                <w:color w:val="000000"/>
                <w:sz w:val="21"/>
                <w:szCs w:val="21"/>
              </w:rPr>
              <w:t>）</w:t>
            </w:r>
          </w:p>
        </w:tc>
        <w:tc>
          <w:tcPr>
            <w:tcW w:w="650" w:type="pct"/>
            <w:vAlign w:val="center"/>
          </w:tcPr>
          <w:p w14:paraId="338AC822">
            <w:pPr>
              <w:topLinePunct/>
              <w:ind w:firstLine="0" w:firstLineChars="0"/>
              <w:jc w:val="center"/>
              <w:rPr>
                <w:rFonts w:eastAsia="宋体"/>
                <w:color w:val="000000"/>
                <w:sz w:val="21"/>
                <w:szCs w:val="21"/>
              </w:rPr>
            </w:pPr>
            <w:r>
              <w:rPr>
                <w:rFonts w:hint="eastAsia" w:eastAsia="宋体"/>
                <w:color w:val="000000"/>
                <w:sz w:val="21"/>
                <w:szCs w:val="21"/>
              </w:rPr>
              <w:t>6</w:t>
            </w:r>
          </w:p>
        </w:tc>
        <w:tc>
          <w:tcPr>
            <w:tcW w:w="891" w:type="pct"/>
            <w:vAlign w:val="center"/>
          </w:tcPr>
          <w:p w14:paraId="6E2C91F2">
            <w:pPr>
              <w:topLinePunct/>
              <w:ind w:firstLine="0" w:firstLineChars="0"/>
              <w:jc w:val="center"/>
              <w:rPr>
                <w:rFonts w:eastAsia="宋体"/>
                <w:color w:val="000000"/>
                <w:sz w:val="21"/>
                <w:szCs w:val="21"/>
              </w:rPr>
            </w:pPr>
            <w:r>
              <w:rPr>
                <w:rFonts w:eastAsia="宋体"/>
                <w:color w:val="000000"/>
                <w:sz w:val="21"/>
                <w:szCs w:val="21"/>
              </w:rPr>
              <w:t>完成</w:t>
            </w:r>
            <w:r>
              <w:rPr>
                <w:rFonts w:hint="eastAsia" w:eastAsia="宋体"/>
                <w:color w:val="000000"/>
                <w:sz w:val="21"/>
                <w:szCs w:val="21"/>
              </w:rPr>
              <w:t>阿坝州</w:t>
            </w:r>
            <w:r>
              <w:rPr>
                <w:rFonts w:eastAsia="宋体"/>
                <w:color w:val="000000"/>
                <w:sz w:val="21"/>
                <w:szCs w:val="21"/>
              </w:rPr>
              <w:t>下达目标</w:t>
            </w:r>
          </w:p>
        </w:tc>
        <w:tc>
          <w:tcPr>
            <w:tcW w:w="518" w:type="pct"/>
            <w:vAlign w:val="center"/>
          </w:tcPr>
          <w:p w14:paraId="3EE7E9B3">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3AE1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4D1B1041">
            <w:pPr>
              <w:topLinePunct/>
              <w:ind w:firstLine="0" w:firstLineChars="0"/>
              <w:jc w:val="center"/>
              <w:rPr>
                <w:rFonts w:eastAsia="宋体"/>
                <w:color w:val="000000"/>
                <w:sz w:val="21"/>
                <w:szCs w:val="21"/>
              </w:rPr>
            </w:pPr>
          </w:p>
        </w:tc>
        <w:tc>
          <w:tcPr>
            <w:tcW w:w="366" w:type="pct"/>
            <w:vAlign w:val="center"/>
          </w:tcPr>
          <w:p w14:paraId="224B5D1D">
            <w:pPr>
              <w:topLinePunct/>
              <w:ind w:firstLine="0" w:firstLineChars="0"/>
              <w:jc w:val="center"/>
              <w:rPr>
                <w:rFonts w:eastAsia="宋体"/>
                <w:color w:val="000000"/>
                <w:sz w:val="21"/>
                <w:szCs w:val="21"/>
              </w:rPr>
            </w:pPr>
            <w:r>
              <w:rPr>
                <w:rFonts w:hint="eastAsia" w:eastAsia="宋体"/>
                <w:color w:val="000000"/>
                <w:sz w:val="21"/>
                <w:szCs w:val="21"/>
              </w:rPr>
              <w:t>2</w:t>
            </w:r>
          </w:p>
        </w:tc>
        <w:tc>
          <w:tcPr>
            <w:tcW w:w="2192" w:type="pct"/>
            <w:vAlign w:val="center"/>
          </w:tcPr>
          <w:p w14:paraId="403FF0A9">
            <w:pPr>
              <w:topLinePunct/>
              <w:ind w:firstLine="0" w:firstLineChars="0"/>
              <w:jc w:val="center"/>
              <w:rPr>
                <w:rFonts w:eastAsia="宋体"/>
                <w:color w:val="000000"/>
                <w:sz w:val="21"/>
                <w:szCs w:val="21"/>
              </w:rPr>
            </w:pPr>
            <w:r>
              <w:rPr>
                <w:rFonts w:eastAsia="宋体"/>
                <w:color w:val="000000"/>
                <w:sz w:val="21"/>
                <w:szCs w:val="21"/>
              </w:rPr>
              <w:t>空气质量优良天数比例（%）</w:t>
            </w:r>
          </w:p>
        </w:tc>
        <w:tc>
          <w:tcPr>
            <w:tcW w:w="650" w:type="pct"/>
            <w:vAlign w:val="center"/>
          </w:tcPr>
          <w:p w14:paraId="7000560A">
            <w:pPr>
              <w:topLinePunct/>
              <w:ind w:firstLine="0" w:firstLineChars="0"/>
              <w:jc w:val="center"/>
              <w:rPr>
                <w:rFonts w:eastAsia="宋体"/>
                <w:color w:val="000000"/>
                <w:sz w:val="21"/>
                <w:szCs w:val="21"/>
              </w:rPr>
            </w:pPr>
            <w:r>
              <w:rPr>
                <w:rFonts w:eastAsia="宋体"/>
                <w:color w:val="000000"/>
                <w:sz w:val="21"/>
                <w:szCs w:val="21"/>
              </w:rPr>
              <w:t>100</w:t>
            </w:r>
            <w:r>
              <w:rPr>
                <w:rFonts w:hint="eastAsia" w:eastAsia="宋体"/>
                <w:color w:val="000000"/>
                <w:sz w:val="21"/>
                <w:szCs w:val="21"/>
              </w:rPr>
              <w:t>*</w:t>
            </w:r>
          </w:p>
        </w:tc>
        <w:tc>
          <w:tcPr>
            <w:tcW w:w="891" w:type="pct"/>
            <w:vAlign w:val="center"/>
          </w:tcPr>
          <w:p w14:paraId="57F1A4E2">
            <w:pPr>
              <w:topLinePunct/>
              <w:ind w:firstLine="0" w:firstLineChars="0"/>
              <w:jc w:val="center"/>
              <w:rPr>
                <w:rFonts w:eastAsia="宋体"/>
                <w:color w:val="000000"/>
                <w:sz w:val="21"/>
                <w:szCs w:val="21"/>
              </w:rPr>
            </w:pPr>
            <w:r>
              <w:rPr>
                <w:rFonts w:eastAsia="宋体"/>
                <w:color w:val="000000"/>
                <w:sz w:val="21"/>
                <w:szCs w:val="21"/>
              </w:rPr>
              <w:t>100</w:t>
            </w:r>
          </w:p>
        </w:tc>
        <w:tc>
          <w:tcPr>
            <w:tcW w:w="518" w:type="pct"/>
            <w:vAlign w:val="center"/>
          </w:tcPr>
          <w:p w14:paraId="6C4F57A1">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65CD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7BDFA130">
            <w:pPr>
              <w:topLinePunct/>
              <w:ind w:firstLine="0" w:firstLineChars="0"/>
              <w:jc w:val="center"/>
              <w:rPr>
                <w:rFonts w:eastAsia="宋体"/>
                <w:color w:val="000000"/>
                <w:sz w:val="21"/>
                <w:szCs w:val="21"/>
              </w:rPr>
            </w:pPr>
          </w:p>
        </w:tc>
        <w:tc>
          <w:tcPr>
            <w:tcW w:w="366" w:type="pct"/>
            <w:vAlign w:val="center"/>
          </w:tcPr>
          <w:p w14:paraId="4D379EAE">
            <w:pPr>
              <w:topLinePunct/>
              <w:ind w:firstLine="0" w:firstLineChars="0"/>
              <w:jc w:val="center"/>
              <w:rPr>
                <w:rFonts w:eastAsia="宋体"/>
                <w:color w:val="000000"/>
                <w:sz w:val="21"/>
                <w:szCs w:val="21"/>
              </w:rPr>
            </w:pPr>
            <w:r>
              <w:rPr>
                <w:rFonts w:hint="eastAsia" w:eastAsia="宋体"/>
                <w:color w:val="000000"/>
                <w:sz w:val="21"/>
                <w:szCs w:val="21"/>
              </w:rPr>
              <w:t>3</w:t>
            </w:r>
          </w:p>
        </w:tc>
        <w:tc>
          <w:tcPr>
            <w:tcW w:w="2192" w:type="pct"/>
            <w:vAlign w:val="center"/>
          </w:tcPr>
          <w:p w14:paraId="69CF56F2">
            <w:pPr>
              <w:topLinePunct/>
              <w:ind w:firstLine="0" w:firstLineChars="0"/>
              <w:jc w:val="center"/>
              <w:rPr>
                <w:rFonts w:eastAsia="宋体"/>
                <w:color w:val="000000"/>
                <w:sz w:val="21"/>
                <w:szCs w:val="21"/>
              </w:rPr>
            </w:pPr>
            <w:r>
              <w:rPr>
                <w:rFonts w:eastAsia="宋体"/>
                <w:color w:val="000000"/>
                <w:sz w:val="21"/>
                <w:szCs w:val="21"/>
              </w:rPr>
              <w:t>重度及以</w:t>
            </w:r>
            <w:r>
              <w:rPr>
                <w:rFonts w:hint="eastAsia" w:eastAsia="宋体"/>
                <w:color w:val="000000"/>
                <w:sz w:val="21"/>
                <w:szCs w:val="21"/>
              </w:rPr>
              <w:t>上</w:t>
            </w:r>
            <w:r>
              <w:rPr>
                <w:rFonts w:eastAsia="宋体"/>
                <w:color w:val="000000"/>
                <w:sz w:val="21"/>
                <w:szCs w:val="21"/>
              </w:rPr>
              <w:t>污染天数比率（%）</w:t>
            </w:r>
          </w:p>
        </w:tc>
        <w:tc>
          <w:tcPr>
            <w:tcW w:w="650" w:type="pct"/>
            <w:vAlign w:val="center"/>
          </w:tcPr>
          <w:p w14:paraId="524764AB">
            <w:pPr>
              <w:topLinePunct/>
              <w:ind w:firstLine="0" w:firstLineChars="0"/>
              <w:jc w:val="center"/>
              <w:rPr>
                <w:rFonts w:eastAsia="宋体"/>
                <w:color w:val="000000"/>
                <w:sz w:val="21"/>
                <w:szCs w:val="21"/>
              </w:rPr>
            </w:pPr>
            <w:r>
              <w:rPr>
                <w:rFonts w:hint="eastAsia" w:eastAsia="宋体"/>
                <w:color w:val="000000"/>
                <w:sz w:val="21"/>
                <w:szCs w:val="21"/>
              </w:rPr>
              <w:t>0*</w:t>
            </w:r>
          </w:p>
        </w:tc>
        <w:tc>
          <w:tcPr>
            <w:tcW w:w="891" w:type="pct"/>
            <w:vAlign w:val="center"/>
          </w:tcPr>
          <w:p w14:paraId="17EDDD66">
            <w:pPr>
              <w:topLinePunct/>
              <w:ind w:firstLine="0" w:firstLineChars="0"/>
              <w:jc w:val="center"/>
              <w:rPr>
                <w:rFonts w:eastAsia="宋体"/>
                <w:color w:val="000000"/>
                <w:sz w:val="21"/>
                <w:szCs w:val="21"/>
              </w:rPr>
            </w:pPr>
            <w:r>
              <w:rPr>
                <w:rFonts w:hint="eastAsia" w:eastAsia="宋体"/>
                <w:color w:val="000000"/>
                <w:sz w:val="21"/>
                <w:szCs w:val="21"/>
              </w:rPr>
              <w:t>0</w:t>
            </w:r>
          </w:p>
        </w:tc>
        <w:tc>
          <w:tcPr>
            <w:tcW w:w="518" w:type="pct"/>
            <w:vAlign w:val="center"/>
          </w:tcPr>
          <w:p w14:paraId="1B534D67">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0276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07E4FB2E">
            <w:pPr>
              <w:topLinePunct/>
              <w:ind w:firstLine="0" w:firstLineChars="0"/>
              <w:jc w:val="center"/>
              <w:rPr>
                <w:rFonts w:eastAsia="宋体"/>
                <w:color w:val="000000"/>
                <w:sz w:val="21"/>
                <w:szCs w:val="21"/>
              </w:rPr>
            </w:pPr>
          </w:p>
        </w:tc>
        <w:tc>
          <w:tcPr>
            <w:tcW w:w="366" w:type="pct"/>
            <w:vAlign w:val="center"/>
          </w:tcPr>
          <w:p w14:paraId="7684BC8B">
            <w:pPr>
              <w:topLinePunct/>
              <w:ind w:firstLine="0" w:firstLineChars="0"/>
              <w:jc w:val="center"/>
              <w:rPr>
                <w:rFonts w:eastAsia="宋体"/>
                <w:color w:val="000000"/>
                <w:sz w:val="21"/>
                <w:szCs w:val="21"/>
              </w:rPr>
            </w:pPr>
            <w:r>
              <w:rPr>
                <w:rFonts w:hint="eastAsia" w:eastAsia="宋体"/>
                <w:color w:val="000000"/>
                <w:sz w:val="21"/>
                <w:szCs w:val="21"/>
              </w:rPr>
              <w:t>4</w:t>
            </w:r>
          </w:p>
        </w:tc>
        <w:tc>
          <w:tcPr>
            <w:tcW w:w="2192" w:type="pct"/>
            <w:vAlign w:val="center"/>
          </w:tcPr>
          <w:p w14:paraId="5D422079">
            <w:pPr>
              <w:topLinePunct/>
              <w:ind w:firstLine="0" w:firstLineChars="0"/>
              <w:jc w:val="center"/>
              <w:rPr>
                <w:rFonts w:eastAsia="宋体"/>
                <w:color w:val="000000"/>
                <w:sz w:val="21"/>
                <w:szCs w:val="21"/>
              </w:rPr>
            </w:pPr>
            <w:r>
              <w:rPr>
                <w:rFonts w:eastAsia="宋体"/>
                <w:color w:val="000000"/>
                <w:sz w:val="21"/>
                <w:szCs w:val="21"/>
              </w:rPr>
              <w:t>地表水国</w:t>
            </w:r>
            <w:r>
              <w:rPr>
                <w:rFonts w:hint="eastAsia" w:eastAsia="宋体"/>
                <w:color w:val="000000"/>
                <w:sz w:val="21"/>
                <w:szCs w:val="21"/>
              </w:rPr>
              <w:t>省控</w:t>
            </w:r>
            <w:r>
              <w:rPr>
                <w:rFonts w:eastAsia="宋体"/>
                <w:color w:val="000000"/>
                <w:sz w:val="21"/>
                <w:szCs w:val="21"/>
              </w:rPr>
              <w:t>断面优良水体比例（%）</w:t>
            </w:r>
          </w:p>
        </w:tc>
        <w:tc>
          <w:tcPr>
            <w:tcW w:w="650" w:type="pct"/>
            <w:vAlign w:val="center"/>
          </w:tcPr>
          <w:p w14:paraId="4CE4A516">
            <w:pPr>
              <w:topLinePunct/>
              <w:ind w:firstLine="0" w:firstLineChars="0"/>
              <w:jc w:val="center"/>
              <w:rPr>
                <w:rFonts w:eastAsia="宋体"/>
                <w:color w:val="000000"/>
                <w:sz w:val="21"/>
                <w:szCs w:val="21"/>
              </w:rPr>
            </w:pPr>
            <w:r>
              <w:rPr>
                <w:rFonts w:hint="eastAsia" w:eastAsia="宋体"/>
                <w:color w:val="000000"/>
                <w:sz w:val="21"/>
                <w:szCs w:val="21"/>
              </w:rPr>
              <w:t>100</w:t>
            </w:r>
          </w:p>
        </w:tc>
        <w:tc>
          <w:tcPr>
            <w:tcW w:w="891" w:type="pct"/>
            <w:vAlign w:val="center"/>
          </w:tcPr>
          <w:p w14:paraId="7A9E22BE">
            <w:pPr>
              <w:topLinePunct/>
              <w:ind w:firstLine="0" w:firstLineChars="0"/>
              <w:jc w:val="center"/>
              <w:rPr>
                <w:rFonts w:eastAsia="宋体"/>
                <w:color w:val="000000"/>
                <w:sz w:val="21"/>
                <w:szCs w:val="21"/>
              </w:rPr>
            </w:pPr>
            <w:r>
              <w:rPr>
                <w:rFonts w:hint="eastAsia" w:eastAsia="宋体"/>
                <w:color w:val="000000"/>
                <w:sz w:val="21"/>
                <w:szCs w:val="21"/>
              </w:rPr>
              <w:t>100</w:t>
            </w:r>
          </w:p>
        </w:tc>
        <w:tc>
          <w:tcPr>
            <w:tcW w:w="518" w:type="pct"/>
            <w:vAlign w:val="center"/>
          </w:tcPr>
          <w:p w14:paraId="1FA7C67E">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763A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1711C5E0">
            <w:pPr>
              <w:topLinePunct/>
              <w:ind w:firstLine="0" w:firstLineChars="0"/>
              <w:jc w:val="center"/>
              <w:rPr>
                <w:rFonts w:eastAsia="宋体"/>
                <w:color w:val="000000"/>
                <w:sz w:val="21"/>
                <w:szCs w:val="21"/>
              </w:rPr>
            </w:pPr>
          </w:p>
        </w:tc>
        <w:tc>
          <w:tcPr>
            <w:tcW w:w="366" w:type="pct"/>
            <w:vAlign w:val="center"/>
          </w:tcPr>
          <w:p w14:paraId="1FE0D328">
            <w:pPr>
              <w:topLinePunct/>
              <w:ind w:firstLine="0" w:firstLineChars="0"/>
              <w:jc w:val="center"/>
              <w:rPr>
                <w:rFonts w:eastAsia="宋体"/>
                <w:color w:val="000000"/>
                <w:sz w:val="21"/>
                <w:szCs w:val="21"/>
              </w:rPr>
            </w:pPr>
            <w:r>
              <w:rPr>
                <w:rFonts w:hint="eastAsia" w:eastAsia="宋体"/>
                <w:color w:val="000000"/>
                <w:sz w:val="21"/>
                <w:szCs w:val="21"/>
              </w:rPr>
              <w:t>5</w:t>
            </w:r>
          </w:p>
        </w:tc>
        <w:tc>
          <w:tcPr>
            <w:tcW w:w="2192" w:type="pct"/>
            <w:vAlign w:val="center"/>
          </w:tcPr>
          <w:p w14:paraId="0F117987">
            <w:pPr>
              <w:topLinePunct/>
              <w:ind w:firstLine="0" w:firstLineChars="0"/>
              <w:jc w:val="center"/>
              <w:rPr>
                <w:rFonts w:eastAsia="宋体"/>
                <w:color w:val="000000"/>
                <w:sz w:val="21"/>
                <w:szCs w:val="21"/>
              </w:rPr>
            </w:pPr>
            <w:r>
              <w:rPr>
                <w:rFonts w:eastAsia="宋体"/>
                <w:color w:val="000000"/>
                <w:sz w:val="21"/>
                <w:szCs w:val="21"/>
              </w:rPr>
              <w:t>地表水国</w:t>
            </w:r>
            <w:r>
              <w:rPr>
                <w:rFonts w:hint="eastAsia" w:eastAsia="宋体"/>
                <w:color w:val="000000"/>
                <w:sz w:val="21"/>
                <w:szCs w:val="21"/>
              </w:rPr>
              <w:t>控</w:t>
            </w:r>
            <w:r>
              <w:rPr>
                <w:rFonts w:eastAsia="宋体"/>
                <w:color w:val="000000"/>
                <w:sz w:val="21"/>
                <w:szCs w:val="21"/>
              </w:rPr>
              <w:t>断面好Ⅲ水质比例（%）</w:t>
            </w:r>
          </w:p>
        </w:tc>
        <w:tc>
          <w:tcPr>
            <w:tcW w:w="650" w:type="pct"/>
            <w:vAlign w:val="center"/>
          </w:tcPr>
          <w:p w14:paraId="2C6FFB46">
            <w:pPr>
              <w:topLinePunct/>
              <w:ind w:firstLine="0" w:firstLineChars="0"/>
              <w:jc w:val="center"/>
              <w:rPr>
                <w:rFonts w:eastAsia="宋体"/>
                <w:color w:val="000000"/>
                <w:sz w:val="21"/>
                <w:szCs w:val="21"/>
              </w:rPr>
            </w:pPr>
            <w:r>
              <w:rPr>
                <w:rFonts w:hint="eastAsia" w:eastAsia="宋体"/>
                <w:color w:val="000000"/>
                <w:sz w:val="21"/>
                <w:szCs w:val="21"/>
              </w:rPr>
              <w:t>100*</w:t>
            </w:r>
          </w:p>
        </w:tc>
        <w:tc>
          <w:tcPr>
            <w:tcW w:w="891" w:type="pct"/>
            <w:vAlign w:val="center"/>
          </w:tcPr>
          <w:p w14:paraId="5F076DFE">
            <w:pPr>
              <w:topLinePunct/>
              <w:ind w:firstLine="0" w:firstLineChars="0"/>
              <w:jc w:val="center"/>
              <w:rPr>
                <w:rFonts w:eastAsia="宋体"/>
                <w:color w:val="000000"/>
                <w:sz w:val="21"/>
                <w:szCs w:val="21"/>
              </w:rPr>
            </w:pPr>
            <w:r>
              <w:rPr>
                <w:rFonts w:hint="eastAsia" w:eastAsia="宋体"/>
                <w:color w:val="000000"/>
                <w:sz w:val="21"/>
                <w:szCs w:val="21"/>
              </w:rPr>
              <w:t>100</w:t>
            </w:r>
          </w:p>
        </w:tc>
        <w:tc>
          <w:tcPr>
            <w:tcW w:w="518" w:type="pct"/>
            <w:vAlign w:val="center"/>
          </w:tcPr>
          <w:p w14:paraId="3B1380A4">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000C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4C824140">
            <w:pPr>
              <w:topLinePunct/>
              <w:ind w:firstLine="0" w:firstLineChars="0"/>
              <w:jc w:val="center"/>
              <w:rPr>
                <w:rFonts w:eastAsia="宋体"/>
                <w:color w:val="000000"/>
                <w:sz w:val="21"/>
                <w:szCs w:val="21"/>
              </w:rPr>
            </w:pPr>
          </w:p>
        </w:tc>
        <w:tc>
          <w:tcPr>
            <w:tcW w:w="366" w:type="pct"/>
            <w:vAlign w:val="center"/>
          </w:tcPr>
          <w:p w14:paraId="3C0E1C7A">
            <w:pPr>
              <w:topLinePunct/>
              <w:ind w:firstLine="0" w:firstLineChars="0"/>
              <w:jc w:val="center"/>
              <w:rPr>
                <w:rFonts w:eastAsia="宋体"/>
                <w:color w:val="000000"/>
                <w:sz w:val="21"/>
                <w:szCs w:val="21"/>
              </w:rPr>
            </w:pPr>
            <w:r>
              <w:rPr>
                <w:rFonts w:hint="eastAsia" w:eastAsia="宋体"/>
                <w:color w:val="000000"/>
                <w:sz w:val="21"/>
                <w:szCs w:val="21"/>
              </w:rPr>
              <w:t>6</w:t>
            </w:r>
          </w:p>
        </w:tc>
        <w:tc>
          <w:tcPr>
            <w:tcW w:w="2192" w:type="pct"/>
            <w:vAlign w:val="center"/>
          </w:tcPr>
          <w:p w14:paraId="04674133">
            <w:pPr>
              <w:topLinePunct/>
              <w:ind w:firstLine="0" w:firstLineChars="0"/>
              <w:jc w:val="center"/>
              <w:rPr>
                <w:rFonts w:eastAsia="宋体"/>
                <w:color w:val="000000"/>
                <w:sz w:val="21"/>
                <w:szCs w:val="21"/>
              </w:rPr>
            </w:pPr>
            <w:r>
              <w:rPr>
                <w:rFonts w:eastAsia="宋体"/>
                <w:color w:val="000000"/>
                <w:sz w:val="21"/>
                <w:szCs w:val="21"/>
              </w:rPr>
              <w:t>地下水优良水质比例（%）</w:t>
            </w:r>
          </w:p>
        </w:tc>
        <w:tc>
          <w:tcPr>
            <w:tcW w:w="650" w:type="pct"/>
            <w:vAlign w:val="center"/>
          </w:tcPr>
          <w:p w14:paraId="083D02F2">
            <w:pPr>
              <w:topLinePunct/>
              <w:ind w:firstLine="0" w:firstLineChars="0"/>
              <w:jc w:val="center"/>
              <w:rPr>
                <w:rFonts w:eastAsia="宋体"/>
                <w:color w:val="000000"/>
                <w:sz w:val="21"/>
                <w:szCs w:val="21"/>
              </w:rPr>
            </w:pPr>
            <w:r>
              <w:rPr>
                <w:rFonts w:hint="eastAsia" w:eastAsia="宋体"/>
                <w:color w:val="000000"/>
                <w:sz w:val="21"/>
                <w:szCs w:val="21"/>
              </w:rPr>
              <w:t>100</w:t>
            </w:r>
          </w:p>
        </w:tc>
        <w:tc>
          <w:tcPr>
            <w:tcW w:w="891" w:type="pct"/>
            <w:vAlign w:val="center"/>
          </w:tcPr>
          <w:p w14:paraId="27A6A0FB">
            <w:pPr>
              <w:topLinePunct/>
              <w:ind w:firstLine="0" w:firstLineChars="0"/>
              <w:jc w:val="center"/>
              <w:rPr>
                <w:rFonts w:eastAsia="宋体"/>
                <w:color w:val="000000"/>
                <w:sz w:val="21"/>
                <w:szCs w:val="21"/>
              </w:rPr>
            </w:pPr>
            <w:r>
              <w:rPr>
                <w:rFonts w:hint="eastAsia" w:eastAsia="宋体"/>
                <w:color w:val="000000"/>
                <w:sz w:val="21"/>
                <w:szCs w:val="21"/>
              </w:rPr>
              <w:t>100</w:t>
            </w:r>
          </w:p>
        </w:tc>
        <w:tc>
          <w:tcPr>
            <w:tcW w:w="518" w:type="pct"/>
            <w:vAlign w:val="center"/>
          </w:tcPr>
          <w:p w14:paraId="3E7A9753">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7B73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6A283625">
            <w:pPr>
              <w:topLinePunct/>
              <w:ind w:firstLine="0" w:firstLineChars="0"/>
              <w:jc w:val="center"/>
              <w:rPr>
                <w:rFonts w:eastAsia="宋体"/>
                <w:color w:val="000000"/>
                <w:sz w:val="21"/>
                <w:szCs w:val="21"/>
              </w:rPr>
            </w:pPr>
          </w:p>
        </w:tc>
        <w:tc>
          <w:tcPr>
            <w:tcW w:w="366" w:type="pct"/>
            <w:vAlign w:val="center"/>
          </w:tcPr>
          <w:p w14:paraId="23B21F88">
            <w:pPr>
              <w:topLinePunct/>
              <w:ind w:firstLine="0" w:firstLineChars="0"/>
              <w:jc w:val="center"/>
              <w:rPr>
                <w:rFonts w:eastAsia="宋体"/>
                <w:color w:val="000000"/>
                <w:sz w:val="21"/>
                <w:szCs w:val="21"/>
              </w:rPr>
            </w:pPr>
            <w:r>
              <w:rPr>
                <w:rFonts w:hint="eastAsia" w:eastAsia="宋体"/>
                <w:color w:val="000000"/>
                <w:sz w:val="21"/>
                <w:szCs w:val="21"/>
              </w:rPr>
              <w:t>7</w:t>
            </w:r>
          </w:p>
        </w:tc>
        <w:tc>
          <w:tcPr>
            <w:tcW w:w="2192" w:type="pct"/>
            <w:vAlign w:val="center"/>
          </w:tcPr>
          <w:p w14:paraId="03706FB7">
            <w:pPr>
              <w:topLinePunct/>
              <w:ind w:firstLine="0" w:firstLineChars="0"/>
              <w:jc w:val="center"/>
              <w:rPr>
                <w:rFonts w:eastAsia="宋体"/>
                <w:color w:val="000000"/>
                <w:sz w:val="21"/>
                <w:szCs w:val="21"/>
              </w:rPr>
            </w:pPr>
            <w:r>
              <w:rPr>
                <w:rFonts w:eastAsia="宋体"/>
                <w:color w:val="000000"/>
                <w:sz w:val="21"/>
                <w:szCs w:val="21"/>
              </w:rPr>
              <w:t>农村生活污水治理率（%）</w:t>
            </w:r>
          </w:p>
        </w:tc>
        <w:tc>
          <w:tcPr>
            <w:tcW w:w="650" w:type="pct"/>
            <w:vAlign w:val="center"/>
          </w:tcPr>
          <w:p w14:paraId="0B7A61A7">
            <w:pPr>
              <w:topLinePunct/>
              <w:ind w:firstLine="0" w:firstLineChars="0"/>
              <w:jc w:val="center"/>
              <w:rPr>
                <w:rFonts w:eastAsia="宋体"/>
                <w:color w:val="000000"/>
                <w:sz w:val="21"/>
                <w:szCs w:val="21"/>
              </w:rPr>
            </w:pPr>
            <w:r>
              <w:rPr>
                <w:rFonts w:hint="eastAsia" w:eastAsia="宋体"/>
                <w:color w:val="000000"/>
                <w:sz w:val="21"/>
                <w:szCs w:val="21"/>
              </w:rPr>
              <w:t>70.64</w:t>
            </w:r>
          </w:p>
        </w:tc>
        <w:tc>
          <w:tcPr>
            <w:tcW w:w="891" w:type="pct"/>
            <w:vAlign w:val="center"/>
          </w:tcPr>
          <w:p w14:paraId="7100F08C">
            <w:pPr>
              <w:topLinePunct/>
              <w:ind w:firstLine="0" w:firstLineChars="0"/>
              <w:jc w:val="center"/>
              <w:rPr>
                <w:rFonts w:eastAsia="宋体"/>
                <w:color w:val="000000"/>
                <w:sz w:val="21"/>
                <w:szCs w:val="21"/>
              </w:rPr>
            </w:pPr>
            <w:r>
              <w:rPr>
                <w:rFonts w:eastAsia="宋体"/>
                <w:color w:val="000000"/>
                <w:sz w:val="21"/>
                <w:szCs w:val="21"/>
              </w:rPr>
              <w:t>完成阿坝州下达任务</w:t>
            </w:r>
          </w:p>
        </w:tc>
        <w:tc>
          <w:tcPr>
            <w:tcW w:w="518" w:type="pct"/>
            <w:vAlign w:val="center"/>
          </w:tcPr>
          <w:p w14:paraId="4C19237E">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7909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19902539">
            <w:pPr>
              <w:topLinePunct/>
              <w:ind w:firstLine="0" w:firstLineChars="0"/>
              <w:jc w:val="center"/>
              <w:rPr>
                <w:rFonts w:eastAsia="宋体"/>
                <w:color w:val="000000"/>
                <w:sz w:val="21"/>
                <w:szCs w:val="21"/>
              </w:rPr>
            </w:pPr>
          </w:p>
        </w:tc>
        <w:tc>
          <w:tcPr>
            <w:tcW w:w="366" w:type="pct"/>
            <w:vAlign w:val="center"/>
          </w:tcPr>
          <w:p w14:paraId="49F0C25D">
            <w:pPr>
              <w:topLinePunct/>
              <w:ind w:firstLine="0" w:firstLineChars="0"/>
              <w:jc w:val="center"/>
              <w:rPr>
                <w:rFonts w:eastAsia="宋体"/>
                <w:color w:val="000000"/>
                <w:sz w:val="21"/>
                <w:szCs w:val="21"/>
              </w:rPr>
            </w:pPr>
            <w:r>
              <w:rPr>
                <w:rFonts w:hint="eastAsia" w:eastAsia="宋体"/>
                <w:color w:val="000000"/>
                <w:sz w:val="21"/>
                <w:szCs w:val="21"/>
              </w:rPr>
              <w:t>8</w:t>
            </w:r>
          </w:p>
        </w:tc>
        <w:tc>
          <w:tcPr>
            <w:tcW w:w="2192" w:type="pct"/>
            <w:vAlign w:val="center"/>
          </w:tcPr>
          <w:p w14:paraId="345D4EA4">
            <w:pPr>
              <w:topLinePunct/>
              <w:ind w:firstLine="0" w:firstLineChars="0"/>
              <w:jc w:val="center"/>
              <w:rPr>
                <w:rFonts w:eastAsia="宋体"/>
                <w:color w:val="000000"/>
                <w:sz w:val="21"/>
                <w:szCs w:val="21"/>
              </w:rPr>
            </w:pPr>
            <w:r>
              <w:rPr>
                <w:rFonts w:eastAsia="宋体"/>
                <w:color w:val="000000"/>
                <w:sz w:val="21"/>
                <w:szCs w:val="21"/>
              </w:rPr>
              <w:t>声环境功能区夜间达标率（%）</w:t>
            </w:r>
          </w:p>
        </w:tc>
        <w:tc>
          <w:tcPr>
            <w:tcW w:w="650" w:type="pct"/>
            <w:vAlign w:val="center"/>
          </w:tcPr>
          <w:p w14:paraId="7A9EAFC8">
            <w:pPr>
              <w:topLinePunct/>
              <w:ind w:firstLine="0" w:firstLineChars="0"/>
              <w:jc w:val="center"/>
              <w:rPr>
                <w:rFonts w:eastAsia="宋体"/>
                <w:color w:val="000000"/>
                <w:sz w:val="21"/>
                <w:szCs w:val="21"/>
              </w:rPr>
            </w:pPr>
            <w:r>
              <w:rPr>
                <w:rFonts w:hint="eastAsia" w:eastAsia="宋体"/>
                <w:color w:val="000000"/>
                <w:sz w:val="21"/>
                <w:szCs w:val="21"/>
              </w:rPr>
              <w:t>—</w:t>
            </w:r>
          </w:p>
        </w:tc>
        <w:tc>
          <w:tcPr>
            <w:tcW w:w="891" w:type="pct"/>
            <w:vAlign w:val="center"/>
          </w:tcPr>
          <w:p w14:paraId="34CA936D">
            <w:pPr>
              <w:topLinePunct/>
              <w:ind w:firstLine="0" w:firstLineChars="0"/>
              <w:jc w:val="center"/>
              <w:rPr>
                <w:rFonts w:eastAsia="宋体"/>
                <w:color w:val="000000"/>
                <w:sz w:val="21"/>
                <w:szCs w:val="21"/>
              </w:rPr>
            </w:pPr>
            <w:r>
              <w:rPr>
                <w:rFonts w:eastAsia="宋体"/>
                <w:color w:val="000000"/>
                <w:sz w:val="21"/>
                <w:szCs w:val="21"/>
              </w:rPr>
              <w:t>完成阿坝州下达任务</w:t>
            </w:r>
          </w:p>
        </w:tc>
        <w:tc>
          <w:tcPr>
            <w:tcW w:w="518" w:type="pct"/>
            <w:vAlign w:val="center"/>
          </w:tcPr>
          <w:p w14:paraId="5A869B88">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1042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restart"/>
            <w:vAlign w:val="center"/>
          </w:tcPr>
          <w:p w14:paraId="7ED57B5F">
            <w:pPr>
              <w:topLinePunct/>
              <w:ind w:firstLine="0" w:firstLineChars="0"/>
              <w:jc w:val="center"/>
              <w:rPr>
                <w:rFonts w:eastAsia="宋体"/>
                <w:color w:val="000000"/>
                <w:sz w:val="21"/>
                <w:szCs w:val="21"/>
              </w:rPr>
            </w:pPr>
            <w:r>
              <w:rPr>
                <w:rFonts w:hint="eastAsia" w:eastAsia="宋体"/>
                <w:color w:val="000000"/>
                <w:sz w:val="21"/>
                <w:szCs w:val="21"/>
              </w:rPr>
              <w:t>减污降碳协同</w:t>
            </w:r>
          </w:p>
        </w:tc>
        <w:tc>
          <w:tcPr>
            <w:tcW w:w="366" w:type="pct"/>
            <w:vAlign w:val="center"/>
          </w:tcPr>
          <w:p w14:paraId="5EEAF9A6">
            <w:pPr>
              <w:topLinePunct/>
              <w:ind w:firstLine="0" w:firstLineChars="0"/>
              <w:jc w:val="center"/>
              <w:rPr>
                <w:rFonts w:eastAsia="宋体"/>
                <w:color w:val="000000"/>
                <w:sz w:val="21"/>
                <w:szCs w:val="21"/>
              </w:rPr>
            </w:pPr>
            <w:r>
              <w:rPr>
                <w:rFonts w:hint="eastAsia" w:eastAsia="宋体"/>
                <w:color w:val="000000"/>
                <w:sz w:val="21"/>
                <w:szCs w:val="21"/>
              </w:rPr>
              <w:t>9</w:t>
            </w:r>
          </w:p>
        </w:tc>
        <w:tc>
          <w:tcPr>
            <w:tcW w:w="2192" w:type="pct"/>
            <w:vAlign w:val="center"/>
          </w:tcPr>
          <w:p w14:paraId="7778452B">
            <w:pPr>
              <w:topLinePunct/>
              <w:ind w:firstLine="0" w:firstLineChars="0"/>
              <w:jc w:val="center"/>
              <w:rPr>
                <w:rFonts w:eastAsia="宋体"/>
                <w:color w:val="000000"/>
                <w:sz w:val="21"/>
                <w:szCs w:val="21"/>
              </w:rPr>
            </w:pPr>
            <w:r>
              <w:rPr>
                <w:rFonts w:eastAsia="宋体"/>
                <w:color w:val="000000"/>
                <w:sz w:val="21"/>
                <w:szCs w:val="21"/>
              </w:rPr>
              <w:t>单位GDP</w:t>
            </w:r>
            <w:r>
              <w:rPr>
                <w:rFonts w:hint="eastAsia" w:eastAsia="宋体"/>
                <w:color w:val="000000"/>
                <w:sz w:val="21"/>
                <w:szCs w:val="21"/>
              </w:rPr>
              <w:t>二</w:t>
            </w:r>
            <w:r>
              <w:rPr>
                <w:rFonts w:eastAsia="宋体"/>
                <w:color w:val="000000"/>
                <w:sz w:val="21"/>
                <w:szCs w:val="21"/>
              </w:rPr>
              <w:t>氧化碳排放降低（%）</w:t>
            </w:r>
          </w:p>
        </w:tc>
        <w:tc>
          <w:tcPr>
            <w:tcW w:w="650" w:type="pct"/>
            <w:vAlign w:val="center"/>
          </w:tcPr>
          <w:p w14:paraId="5C028A17">
            <w:pPr>
              <w:topLinePunct/>
              <w:ind w:firstLine="0" w:firstLineChars="0"/>
              <w:jc w:val="center"/>
              <w:rPr>
                <w:rFonts w:eastAsia="宋体"/>
                <w:color w:val="000000"/>
                <w:sz w:val="21"/>
                <w:szCs w:val="21"/>
              </w:rPr>
            </w:pPr>
            <w:r>
              <w:rPr>
                <w:rFonts w:hint="eastAsia" w:eastAsia="宋体"/>
                <w:color w:val="000000"/>
                <w:sz w:val="21"/>
                <w:szCs w:val="21"/>
              </w:rPr>
              <w:t>15</w:t>
            </w:r>
          </w:p>
        </w:tc>
        <w:tc>
          <w:tcPr>
            <w:tcW w:w="891" w:type="pct"/>
            <w:vAlign w:val="center"/>
          </w:tcPr>
          <w:p w14:paraId="68787DC7">
            <w:pPr>
              <w:topLinePunct/>
              <w:ind w:firstLine="0" w:firstLineChars="0"/>
              <w:jc w:val="center"/>
              <w:rPr>
                <w:rFonts w:eastAsia="宋体"/>
                <w:color w:val="000000"/>
                <w:sz w:val="21"/>
                <w:szCs w:val="21"/>
              </w:rPr>
            </w:pPr>
            <w:r>
              <w:rPr>
                <w:rFonts w:eastAsia="宋体"/>
                <w:color w:val="000000"/>
                <w:sz w:val="21"/>
                <w:szCs w:val="21"/>
              </w:rPr>
              <w:t>完成阿坝州下达任务</w:t>
            </w:r>
          </w:p>
        </w:tc>
        <w:tc>
          <w:tcPr>
            <w:tcW w:w="518" w:type="pct"/>
            <w:vAlign w:val="center"/>
          </w:tcPr>
          <w:p w14:paraId="717E2AEF">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53AA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4FD59CD4">
            <w:pPr>
              <w:topLinePunct/>
              <w:ind w:firstLine="0" w:firstLineChars="0"/>
              <w:jc w:val="center"/>
              <w:rPr>
                <w:rFonts w:eastAsia="宋体"/>
                <w:color w:val="000000"/>
                <w:sz w:val="21"/>
                <w:szCs w:val="21"/>
              </w:rPr>
            </w:pPr>
          </w:p>
        </w:tc>
        <w:tc>
          <w:tcPr>
            <w:tcW w:w="366" w:type="pct"/>
            <w:vAlign w:val="center"/>
          </w:tcPr>
          <w:p w14:paraId="50EE4024">
            <w:pPr>
              <w:topLinePunct/>
              <w:ind w:firstLine="0" w:firstLineChars="0"/>
              <w:jc w:val="center"/>
              <w:rPr>
                <w:rFonts w:eastAsia="宋体"/>
                <w:color w:val="000000"/>
                <w:sz w:val="21"/>
                <w:szCs w:val="21"/>
              </w:rPr>
            </w:pPr>
            <w:r>
              <w:rPr>
                <w:rFonts w:hint="eastAsia" w:eastAsia="宋体"/>
                <w:color w:val="000000"/>
                <w:sz w:val="21"/>
                <w:szCs w:val="21"/>
              </w:rPr>
              <w:t>10</w:t>
            </w:r>
          </w:p>
        </w:tc>
        <w:tc>
          <w:tcPr>
            <w:tcW w:w="2192" w:type="pct"/>
            <w:vAlign w:val="center"/>
          </w:tcPr>
          <w:p w14:paraId="5F1F77B9">
            <w:pPr>
              <w:topLinePunct/>
              <w:ind w:firstLine="0" w:firstLineChars="0"/>
              <w:jc w:val="center"/>
              <w:rPr>
                <w:rFonts w:eastAsia="宋体"/>
                <w:color w:val="000000"/>
                <w:sz w:val="21"/>
                <w:szCs w:val="21"/>
              </w:rPr>
            </w:pPr>
            <w:r>
              <w:rPr>
                <w:rFonts w:eastAsia="宋体"/>
                <w:color w:val="000000"/>
                <w:sz w:val="21"/>
                <w:szCs w:val="21"/>
              </w:rPr>
              <w:t>非化</w:t>
            </w:r>
            <w:r>
              <w:rPr>
                <w:rFonts w:hint="eastAsia" w:eastAsia="宋体"/>
                <w:color w:val="000000"/>
                <w:sz w:val="21"/>
                <w:szCs w:val="21"/>
              </w:rPr>
              <w:t>石</w:t>
            </w:r>
            <w:r>
              <w:rPr>
                <w:rFonts w:eastAsia="宋体"/>
                <w:color w:val="000000"/>
                <w:sz w:val="21"/>
                <w:szCs w:val="21"/>
              </w:rPr>
              <w:t>能源占能源消费总比重</w:t>
            </w:r>
            <w:r>
              <w:rPr>
                <w:rFonts w:hint="eastAsia" w:eastAsia="宋体"/>
                <w:color w:val="000000"/>
                <w:sz w:val="21"/>
                <w:szCs w:val="21"/>
              </w:rPr>
              <w:t>（</w:t>
            </w:r>
            <w:r>
              <w:rPr>
                <w:rFonts w:eastAsia="宋体"/>
                <w:color w:val="000000"/>
                <w:sz w:val="21"/>
                <w:szCs w:val="21"/>
              </w:rPr>
              <w:t>%）</w:t>
            </w:r>
          </w:p>
        </w:tc>
        <w:tc>
          <w:tcPr>
            <w:tcW w:w="650" w:type="pct"/>
            <w:vAlign w:val="center"/>
          </w:tcPr>
          <w:p w14:paraId="5540DB75">
            <w:pPr>
              <w:topLinePunct/>
              <w:ind w:firstLine="0" w:firstLineChars="0"/>
              <w:jc w:val="center"/>
              <w:rPr>
                <w:rFonts w:eastAsia="宋体"/>
                <w:color w:val="000000"/>
                <w:sz w:val="21"/>
                <w:szCs w:val="21"/>
              </w:rPr>
            </w:pPr>
            <w:r>
              <w:rPr>
                <w:rFonts w:hint="eastAsia" w:eastAsia="宋体"/>
                <w:color w:val="000000"/>
                <w:sz w:val="21"/>
                <w:szCs w:val="21"/>
              </w:rPr>
              <w:t>82.01</w:t>
            </w:r>
          </w:p>
        </w:tc>
        <w:tc>
          <w:tcPr>
            <w:tcW w:w="891" w:type="pct"/>
            <w:vAlign w:val="center"/>
          </w:tcPr>
          <w:p w14:paraId="342FFCE2">
            <w:pPr>
              <w:topLinePunct/>
              <w:ind w:firstLine="0" w:firstLineChars="0"/>
              <w:jc w:val="center"/>
              <w:rPr>
                <w:rFonts w:eastAsia="宋体"/>
                <w:color w:val="000000"/>
                <w:sz w:val="21"/>
                <w:szCs w:val="21"/>
              </w:rPr>
            </w:pPr>
            <w:r>
              <w:rPr>
                <w:rFonts w:hint="eastAsia" w:eastAsia="宋体"/>
                <w:color w:val="000000"/>
                <w:sz w:val="21"/>
                <w:szCs w:val="21"/>
              </w:rPr>
              <w:t>83.56</w:t>
            </w:r>
          </w:p>
        </w:tc>
        <w:tc>
          <w:tcPr>
            <w:tcW w:w="518" w:type="pct"/>
            <w:vAlign w:val="center"/>
          </w:tcPr>
          <w:p w14:paraId="30053ABA">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2BD4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5" w:hRule="atLeast"/>
          <w:jc w:val="center"/>
        </w:trPr>
        <w:tc>
          <w:tcPr>
            <w:tcW w:w="383" w:type="pct"/>
            <w:vMerge w:val="continue"/>
            <w:vAlign w:val="center"/>
          </w:tcPr>
          <w:p w14:paraId="5719F18B">
            <w:pPr>
              <w:topLinePunct/>
              <w:ind w:firstLine="0" w:firstLineChars="0"/>
              <w:jc w:val="center"/>
              <w:rPr>
                <w:rFonts w:eastAsia="宋体"/>
                <w:color w:val="000000"/>
                <w:sz w:val="21"/>
                <w:szCs w:val="21"/>
              </w:rPr>
            </w:pPr>
          </w:p>
        </w:tc>
        <w:tc>
          <w:tcPr>
            <w:tcW w:w="366" w:type="pct"/>
            <w:vAlign w:val="center"/>
          </w:tcPr>
          <w:p w14:paraId="19544E5F">
            <w:pPr>
              <w:topLinePunct/>
              <w:ind w:firstLine="0" w:firstLineChars="0"/>
              <w:jc w:val="center"/>
              <w:rPr>
                <w:rFonts w:eastAsia="宋体"/>
                <w:color w:val="000000"/>
                <w:sz w:val="21"/>
                <w:szCs w:val="21"/>
              </w:rPr>
            </w:pPr>
            <w:r>
              <w:rPr>
                <w:rFonts w:hint="eastAsia" w:eastAsia="宋体"/>
                <w:color w:val="000000"/>
                <w:sz w:val="21"/>
                <w:szCs w:val="21"/>
              </w:rPr>
              <w:t>11</w:t>
            </w:r>
          </w:p>
        </w:tc>
        <w:tc>
          <w:tcPr>
            <w:tcW w:w="2192" w:type="pct"/>
            <w:vAlign w:val="center"/>
          </w:tcPr>
          <w:p w14:paraId="524F4311">
            <w:pPr>
              <w:topLinePunct/>
              <w:ind w:firstLine="0" w:firstLineChars="0"/>
              <w:jc w:val="center"/>
              <w:rPr>
                <w:rFonts w:eastAsia="宋体"/>
                <w:color w:val="000000"/>
                <w:sz w:val="21"/>
                <w:szCs w:val="21"/>
              </w:rPr>
            </w:pPr>
            <w:r>
              <w:rPr>
                <w:rFonts w:eastAsia="宋体"/>
                <w:color w:val="000000"/>
                <w:sz w:val="21"/>
                <w:szCs w:val="21"/>
              </w:rPr>
              <w:t>氮氧化物重点工程减排量（万吨）</w:t>
            </w:r>
          </w:p>
        </w:tc>
        <w:tc>
          <w:tcPr>
            <w:tcW w:w="650" w:type="pct"/>
            <w:vAlign w:val="center"/>
          </w:tcPr>
          <w:p w14:paraId="45CCB1A0">
            <w:pPr>
              <w:topLinePunct/>
              <w:ind w:firstLine="0" w:firstLineChars="0"/>
              <w:jc w:val="center"/>
              <w:rPr>
                <w:rFonts w:eastAsia="宋体"/>
                <w:color w:val="000000"/>
                <w:sz w:val="21"/>
                <w:szCs w:val="21"/>
              </w:rPr>
            </w:pPr>
            <w:r>
              <w:rPr>
                <w:rFonts w:hint="eastAsia" w:eastAsia="宋体"/>
                <w:color w:val="000000"/>
                <w:sz w:val="21"/>
                <w:szCs w:val="21"/>
              </w:rPr>
              <w:t>—</w:t>
            </w:r>
          </w:p>
        </w:tc>
        <w:tc>
          <w:tcPr>
            <w:tcW w:w="891" w:type="pct"/>
            <w:vAlign w:val="center"/>
          </w:tcPr>
          <w:p w14:paraId="58C727C8">
            <w:pPr>
              <w:topLinePunct/>
              <w:ind w:firstLine="0" w:firstLineChars="0"/>
              <w:jc w:val="center"/>
              <w:rPr>
                <w:rFonts w:eastAsia="宋体"/>
                <w:color w:val="000000"/>
                <w:sz w:val="21"/>
                <w:szCs w:val="21"/>
              </w:rPr>
            </w:pPr>
            <w:r>
              <w:rPr>
                <w:rFonts w:eastAsia="宋体"/>
                <w:color w:val="000000"/>
                <w:sz w:val="21"/>
                <w:szCs w:val="21"/>
              </w:rPr>
              <w:t>完成阿坝州下达任务</w:t>
            </w:r>
          </w:p>
        </w:tc>
        <w:tc>
          <w:tcPr>
            <w:tcW w:w="518" w:type="pct"/>
            <w:vAlign w:val="center"/>
          </w:tcPr>
          <w:p w14:paraId="6B4E09A2">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24EA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9" w:hRule="atLeast"/>
          <w:jc w:val="center"/>
        </w:trPr>
        <w:tc>
          <w:tcPr>
            <w:tcW w:w="383" w:type="pct"/>
            <w:vMerge w:val="continue"/>
            <w:vAlign w:val="center"/>
          </w:tcPr>
          <w:p w14:paraId="0F875AE1">
            <w:pPr>
              <w:topLinePunct/>
              <w:ind w:firstLine="0" w:firstLineChars="0"/>
              <w:jc w:val="center"/>
              <w:rPr>
                <w:rFonts w:eastAsia="宋体"/>
                <w:color w:val="000000"/>
                <w:sz w:val="21"/>
                <w:szCs w:val="21"/>
              </w:rPr>
            </w:pPr>
          </w:p>
        </w:tc>
        <w:tc>
          <w:tcPr>
            <w:tcW w:w="366" w:type="pct"/>
            <w:vAlign w:val="center"/>
          </w:tcPr>
          <w:p w14:paraId="56B627ED">
            <w:pPr>
              <w:topLinePunct/>
              <w:ind w:firstLine="0" w:firstLineChars="0"/>
              <w:jc w:val="center"/>
              <w:rPr>
                <w:rFonts w:eastAsia="宋体"/>
                <w:color w:val="000000"/>
                <w:sz w:val="21"/>
                <w:szCs w:val="21"/>
              </w:rPr>
            </w:pPr>
            <w:r>
              <w:rPr>
                <w:rFonts w:hint="eastAsia" w:eastAsia="宋体"/>
                <w:color w:val="000000"/>
                <w:sz w:val="21"/>
                <w:szCs w:val="21"/>
              </w:rPr>
              <w:t>12</w:t>
            </w:r>
          </w:p>
        </w:tc>
        <w:tc>
          <w:tcPr>
            <w:tcW w:w="2192" w:type="pct"/>
            <w:vAlign w:val="center"/>
          </w:tcPr>
          <w:p w14:paraId="2526A629">
            <w:pPr>
              <w:topLinePunct/>
              <w:ind w:firstLine="0" w:firstLineChars="0"/>
              <w:jc w:val="center"/>
              <w:rPr>
                <w:rFonts w:eastAsia="宋体"/>
                <w:color w:val="000000"/>
                <w:sz w:val="21"/>
                <w:szCs w:val="21"/>
              </w:rPr>
            </w:pPr>
            <w:r>
              <w:rPr>
                <w:rFonts w:eastAsia="宋体"/>
                <w:color w:val="000000"/>
                <w:sz w:val="21"/>
                <w:szCs w:val="21"/>
              </w:rPr>
              <w:t>挥发性有机物重点工程减排量（万吨）</w:t>
            </w:r>
          </w:p>
        </w:tc>
        <w:tc>
          <w:tcPr>
            <w:tcW w:w="650" w:type="pct"/>
            <w:vAlign w:val="center"/>
          </w:tcPr>
          <w:p w14:paraId="56C13E6C">
            <w:pPr>
              <w:topLinePunct/>
              <w:ind w:firstLine="0" w:firstLineChars="0"/>
              <w:jc w:val="center"/>
              <w:rPr>
                <w:rFonts w:eastAsia="宋体"/>
                <w:color w:val="000000"/>
                <w:sz w:val="21"/>
                <w:szCs w:val="21"/>
              </w:rPr>
            </w:pPr>
            <w:r>
              <w:rPr>
                <w:rFonts w:hint="eastAsia" w:eastAsia="宋体"/>
                <w:color w:val="000000"/>
                <w:sz w:val="21"/>
                <w:szCs w:val="21"/>
              </w:rPr>
              <w:t>—</w:t>
            </w:r>
          </w:p>
        </w:tc>
        <w:tc>
          <w:tcPr>
            <w:tcW w:w="891" w:type="pct"/>
            <w:vAlign w:val="center"/>
          </w:tcPr>
          <w:p w14:paraId="4E8492AB">
            <w:pPr>
              <w:topLinePunct/>
              <w:ind w:firstLine="0" w:firstLineChars="0"/>
              <w:jc w:val="center"/>
              <w:rPr>
                <w:rFonts w:eastAsia="宋体"/>
                <w:color w:val="000000"/>
                <w:sz w:val="21"/>
                <w:szCs w:val="21"/>
              </w:rPr>
            </w:pPr>
            <w:r>
              <w:rPr>
                <w:rFonts w:eastAsia="宋体"/>
                <w:color w:val="000000"/>
                <w:sz w:val="21"/>
                <w:szCs w:val="21"/>
              </w:rPr>
              <w:t>完成阿坝州下达任务</w:t>
            </w:r>
          </w:p>
        </w:tc>
        <w:tc>
          <w:tcPr>
            <w:tcW w:w="518" w:type="pct"/>
            <w:vAlign w:val="center"/>
          </w:tcPr>
          <w:p w14:paraId="4EFB975E">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52BB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9" w:hRule="atLeast"/>
          <w:jc w:val="center"/>
        </w:trPr>
        <w:tc>
          <w:tcPr>
            <w:tcW w:w="383" w:type="pct"/>
            <w:vMerge w:val="continue"/>
            <w:vAlign w:val="center"/>
          </w:tcPr>
          <w:p w14:paraId="5D82E8B4">
            <w:pPr>
              <w:topLinePunct/>
              <w:ind w:firstLine="0" w:firstLineChars="0"/>
              <w:jc w:val="center"/>
              <w:rPr>
                <w:rFonts w:eastAsia="宋体"/>
                <w:color w:val="000000"/>
                <w:sz w:val="21"/>
                <w:szCs w:val="21"/>
              </w:rPr>
            </w:pPr>
          </w:p>
        </w:tc>
        <w:tc>
          <w:tcPr>
            <w:tcW w:w="366" w:type="pct"/>
            <w:vAlign w:val="center"/>
          </w:tcPr>
          <w:p w14:paraId="022623ED">
            <w:pPr>
              <w:topLinePunct/>
              <w:ind w:firstLine="0" w:firstLineChars="0"/>
              <w:jc w:val="center"/>
              <w:rPr>
                <w:rFonts w:eastAsia="宋体"/>
                <w:color w:val="000000"/>
                <w:sz w:val="21"/>
                <w:szCs w:val="21"/>
              </w:rPr>
            </w:pPr>
            <w:r>
              <w:rPr>
                <w:rFonts w:hint="eastAsia" w:eastAsia="宋体"/>
                <w:color w:val="000000"/>
                <w:sz w:val="21"/>
                <w:szCs w:val="21"/>
              </w:rPr>
              <w:t>13</w:t>
            </w:r>
          </w:p>
        </w:tc>
        <w:tc>
          <w:tcPr>
            <w:tcW w:w="2192" w:type="pct"/>
            <w:vAlign w:val="center"/>
          </w:tcPr>
          <w:p w14:paraId="0C3CE91B">
            <w:pPr>
              <w:topLinePunct/>
              <w:ind w:firstLine="0" w:firstLineChars="0"/>
              <w:jc w:val="center"/>
              <w:rPr>
                <w:rFonts w:eastAsia="宋体"/>
                <w:color w:val="000000"/>
                <w:sz w:val="21"/>
                <w:szCs w:val="21"/>
              </w:rPr>
            </w:pPr>
            <w:r>
              <w:rPr>
                <w:rFonts w:eastAsia="宋体"/>
                <w:color w:val="000000"/>
                <w:sz w:val="21"/>
                <w:szCs w:val="21"/>
              </w:rPr>
              <w:t>化学需氧量重点工程减排量（万吨）</w:t>
            </w:r>
          </w:p>
        </w:tc>
        <w:tc>
          <w:tcPr>
            <w:tcW w:w="650" w:type="pct"/>
            <w:vAlign w:val="center"/>
          </w:tcPr>
          <w:p w14:paraId="17C77885">
            <w:pPr>
              <w:topLinePunct/>
              <w:ind w:firstLine="0" w:firstLineChars="0"/>
              <w:jc w:val="center"/>
              <w:rPr>
                <w:rFonts w:eastAsia="宋体"/>
                <w:color w:val="000000"/>
                <w:sz w:val="21"/>
                <w:szCs w:val="21"/>
              </w:rPr>
            </w:pPr>
            <w:r>
              <w:rPr>
                <w:rFonts w:hint="eastAsia" w:eastAsia="宋体"/>
                <w:color w:val="000000"/>
                <w:sz w:val="21"/>
                <w:szCs w:val="21"/>
              </w:rPr>
              <w:t>—</w:t>
            </w:r>
          </w:p>
        </w:tc>
        <w:tc>
          <w:tcPr>
            <w:tcW w:w="891" w:type="pct"/>
            <w:vAlign w:val="center"/>
          </w:tcPr>
          <w:p w14:paraId="5A674A44">
            <w:pPr>
              <w:topLinePunct/>
              <w:ind w:firstLine="0" w:firstLineChars="0"/>
              <w:jc w:val="center"/>
              <w:rPr>
                <w:rFonts w:eastAsia="宋体"/>
                <w:color w:val="000000"/>
                <w:sz w:val="21"/>
                <w:szCs w:val="21"/>
              </w:rPr>
            </w:pPr>
            <w:r>
              <w:rPr>
                <w:rFonts w:eastAsia="宋体"/>
                <w:color w:val="000000"/>
                <w:sz w:val="21"/>
                <w:szCs w:val="21"/>
              </w:rPr>
              <w:t>完成阿坝州下达任务</w:t>
            </w:r>
          </w:p>
        </w:tc>
        <w:tc>
          <w:tcPr>
            <w:tcW w:w="518" w:type="pct"/>
            <w:vAlign w:val="center"/>
          </w:tcPr>
          <w:p w14:paraId="4798F9FE">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1958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9" w:hRule="atLeast"/>
          <w:jc w:val="center"/>
        </w:trPr>
        <w:tc>
          <w:tcPr>
            <w:tcW w:w="383" w:type="pct"/>
            <w:vMerge w:val="continue"/>
            <w:vAlign w:val="center"/>
          </w:tcPr>
          <w:p w14:paraId="789E9451">
            <w:pPr>
              <w:topLinePunct/>
              <w:ind w:firstLine="0" w:firstLineChars="0"/>
              <w:jc w:val="center"/>
              <w:rPr>
                <w:rFonts w:eastAsia="宋体"/>
                <w:color w:val="000000"/>
                <w:sz w:val="21"/>
                <w:szCs w:val="21"/>
              </w:rPr>
            </w:pPr>
          </w:p>
        </w:tc>
        <w:tc>
          <w:tcPr>
            <w:tcW w:w="366" w:type="pct"/>
            <w:vAlign w:val="center"/>
          </w:tcPr>
          <w:p w14:paraId="76ACE3A7">
            <w:pPr>
              <w:topLinePunct/>
              <w:ind w:firstLine="0" w:firstLineChars="0"/>
              <w:jc w:val="center"/>
              <w:rPr>
                <w:rFonts w:eastAsia="宋体"/>
                <w:color w:val="000000"/>
                <w:sz w:val="21"/>
                <w:szCs w:val="21"/>
              </w:rPr>
            </w:pPr>
            <w:r>
              <w:rPr>
                <w:rFonts w:hint="eastAsia" w:eastAsia="宋体"/>
                <w:color w:val="000000"/>
                <w:sz w:val="21"/>
                <w:szCs w:val="21"/>
              </w:rPr>
              <w:t>14</w:t>
            </w:r>
          </w:p>
        </w:tc>
        <w:tc>
          <w:tcPr>
            <w:tcW w:w="2192" w:type="pct"/>
            <w:vAlign w:val="center"/>
          </w:tcPr>
          <w:p w14:paraId="61A6842A">
            <w:pPr>
              <w:topLinePunct/>
              <w:ind w:firstLine="0" w:firstLineChars="0"/>
              <w:jc w:val="center"/>
              <w:rPr>
                <w:rFonts w:eastAsia="宋体"/>
                <w:color w:val="000000"/>
                <w:sz w:val="21"/>
                <w:szCs w:val="21"/>
              </w:rPr>
            </w:pPr>
            <w:r>
              <w:rPr>
                <w:rFonts w:eastAsia="宋体"/>
                <w:color w:val="000000"/>
                <w:sz w:val="21"/>
                <w:szCs w:val="21"/>
              </w:rPr>
              <w:t>总磷重点工程减排量（万吨）</w:t>
            </w:r>
          </w:p>
        </w:tc>
        <w:tc>
          <w:tcPr>
            <w:tcW w:w="650" w:type="pct"/>
            <w:vAlign w:val="center"/>
          </w:tcPr>
          <w:p w14:paraId="4C291AE5">
            <w:pPr>
              <w:topLinePunct/>
              <w:ind w:firstLine="0" w:firstLineChars="0"/>
              <w:jc w:val="center"/>
              <w:rPr>
                <w:rFonts w:eastAsia="宋体"/>
                <w:color w:val="000000"/>
                <w:sz w:val="21"/>
                <w:szCs w:val="21"/>
              </w:rPr>
            </w:pPr>
            <w:r>
              <w:rPr>
                <w:rFonts w:hint="eastAsia" w:eastAsia="宋体"/>
                <w:color w:val="000000"/>
                <w:sz w:val="21"/>
                <w:szCs w:val="21"/>
              </w:rPr>
              <w:t>—</w:t>
            </w:r>
          </w:p>
        </w:tc>
        <w:tc>
          <w:tcPr>
            <w:tcW w:w="891" w:type="pct"/>
            <w:vAlign w:val="center"/>
          </w:tcPr>
          <w:p w14:paraId="5FF9A2A6">
            <w:pPr>
              <w:topLinePunct/>
              <w:ind w:firstLine="0" w:firstLineChars="0"/>
              <w:jc w:val="center"/>
              <w:rPr>
                <w:rFonts w:eastAsia="宋体"/>
                <w:color w:val="000000"/>
                <w:sz w:val="21"/>
                <w:szCs w:val="21"/>
              </w:rPr>
            </w:pPr>
            <w:r>
              <w:rPr>
                <w:rFonts w:eastAsia="宋体"/>
                <w:color w:val="000000"/>
                <w:sz w:val="21"/>
                <w:szCs w:val="21"/>
              </w:rPr>
              <w:t>完成阿坝州下达任务</w:t>
            </w:r>
          </w:p>
        </w:tc>
        <w:tc>
          <w:tcPr>
            <w:tcW w:w="518" w:type="pct"/>
            <w:vAlign w:val="center"/>
          </w:tcPr>
          <w:p w14:paraId="06E1A3E2">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1E63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restart"/>
            <w:vAlign w:val="center"/>
          </w:tcPr>
          <w:p w14:paraId="7DAF0BF6">
            <w:pPr>
              <w:topLinePunct/>
              <w:ind w:firstLine="0" w:firstLineChars="0"/>
              <w:jc w:val="center"/>
              <w:rPr>
                <w:rFonts w:eastAsia="宋体"/>
                <w:color w:val="000000"/>
                <w:sz w:val="21"/>
                <w:szCs w:val="21"/>
              </w:rPr>
            </w:pPr>
            <w:r>
              <w:rPr>
                <w:rFonts w:hint="eastAsia" w:eastAsia="宋体"/>
                <w:color w:val="000000"/>
                <w:sz w:val="21"/>
                <w:szCs w:val="21"/>
              </w:rPr>
              <w:t>生态系统保护</w:t>
            </w:r>
          </w:p>
        </w:tc>
        <w:tc>
          <w:tcPr>
            <w:tcW w:w="366" w:type="pct"/>
            <w:vAlign w:val="center"/>
          </w:tcPr>
          <w:p w14:paraId="3F6AD2E7">
            <w:pPr>
              <w:topLinePunct/>
              <w:ind w:firstLine="0" w:firstLineChars="0"/>
              <w:jc w:val="center"/>
              <w:rPr>
                <w:rFonts w:eastAsia="宋体"/>
                <w:color w:val="000000"/>
                <w:sz w:val="21"/>
                <w:szCs w:val="21"/>
              </w:rPr>
            </w:pPr>
            <w:r>
              <w:rPr>
                <w:rFonts w:hint="eastAsia" w:eastAsia="宋体"/>
                <w:color w:val="000000"/>
                <w:sz w:val="21"/>
                <w:szCs w:val="21"/>
              </w:rPr>
              <w:t>15</w:t>
            </w:r>
          </w:p>
        </w:tc>
        <w:tc>
          <w:tcPr>
            <w:tcW w:w="2192" w:type="pct"/>
            <w:vAlign w:val="center"/>
          </w:tcPr>
          <w:p w14:paraId="0029CF8C">
            <w:pPr>
              <w:topLinePunct/>
              <w:ind w:firstLine="0" w:firstLineChars="0"/>
              <w:jc w:val="center"/>
              <w:rPr>
                <w:rFonts w:eastAsia="宋体"/>
                <w:color w:val="000000"/>
                <w:sz w:val="21"/>
                <w:szCs w:val="21"/>
              </w:rPr>
            </w:pPr>
            <w:r>
              <w:rPr>
                <w:rFonts w:eastAsia="宋体"/>
                <w:color w:val="000000"/>
                <w:sz w:val="21"/>
                <w:szCs w:val="21"/>
              </w:rPr>
              <w:t>森林</w:t>
            </w:r>
            <w:r>
              <w:rPr>
                <w:rFonts w:hint="eastAsia" w:eastAsia="宋体"/>
                <w:color w:val="000000"/>
                <w:sz w:val="21"/>
                <w:szCs w:val="21"/>
              </w:rPr>
              <w:t>覆</w:t>
            </w:r>
            <w:r>
              <w:rPr>
                <w:rFonts w:eastAsia="宋体"/>
                <w:color w:val="000000"/>
                <w:sz w:val="21"/>
                <w:szCs w:val="21"/>
              </w:rPr>
              <w:t>盖率（%）</w:t>
            </w:r>
          </w:p>
        </w:tc>
        <w:tc>
          <w:tcPr>
            <w:tcW w:w="650" w:type="pct"/>
            <w:vAlign w:val="center"/>
          </w:tcPr>
          <w:p w14:paraId="5F0BE95A">
            <w:pPr>
              <w:topLinePunct/>
              <w:ind w:firstLine="0" w:firstLineChars="0"/>
              <w:jc w:val="center"/>
              <w:rPr>
                <w:rFonts w:eastAsia="宋体"/>
                <w:color w:val="000000"/>
                <w:sz w:val="21"/>
                <w:szCs w:val="21"/>
              </w:rPr>
            </w:pPr>
            <w:r>
              <w:rPr>
                <w:rFonts w:hint="eastAsia" w:eastAsia="宋体"/>
                <w:color w:val="000000"/>
                <w:sz w:val="21"/>
                <w:szCs w:val="21"/>
              </w:rPr>
              <w:t>30.21</w:t>
            </w:r>
          </w:p>
        </w:tc>
        <w:tc>
          <w:tcPr>
            <w:tcW w:w="891" w:type="pct"/>
            <w:vAlign w:val="center"/>
          </w:tcPr>
          <w:p w14:paraId="67040413">
            <w:pPr>
              <w:topLinePunct/>
              <w:ind w:firstLine="0" w:firstLineChars="0"/>
              <w:jc w:val="center"/>
              <w:rPr>
                <w:rFonts w:eastAsia="宋体"/>
                <w:color w:val="000000"/>
                <w:sz w:val="21"/>
                <w:szCs w:val="21"/>
              </w:rPr>
            </w:pPr>
            <w:r>
              <w:rPr>
                <w:rFonts w:hint="eastAsia" w:eastAsia="宋体"/>
                <w:color w:val="000000"/>
                <w:sz w:val="21"/>
                <w:szCs w:val="21"/>
              </w:rPr>
              <w:t>≧30.21</w:t>
            </w:r>
          </w:p>
        </w:tc>
        <w:tc>
          <w:tcPr>
            <w:tcW w:w="518" w:type="pct"/>
            <w:vAlign w:val="center"/>
          </w:tcPr>
          <w:p w14:paraId="201D4816">
            <w:pPr>
              <w:topLinePunct/>
              <w:ind w:firstLine="0" w:firstLineChars="0"/>
              <w:jc w:val="center"/>
              <w:rPr>
                <w:rFonts w:eastAsia="宋体"/>
                <w:color w:val="000000"/>
                <w:sz w:val="21"/>
                <w:szCs w:val="21"/>
              </w:rPr>
            </w:pPr>
            <w:r>
              <w:rPr>
                <w:rFonts w:hint="eastAsia" w:eastAsia="宋体"/>
                <w:color w:val="000000"/>
                <w:sz w:val="21"/>
                <w:szCs w:val="21"/>
              </w:rPr>
              <w:t>约束性</w:t>
            </w:r>
          </w:p>
        </w:tc>
      </w:tr>
      <w:tr w14:paraId="0C9F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607A4F66">
            <w:pPr>
              <w:topLinePunct/>
              <w:ind w:firstLine="0" w:firstLineChars="0"/>
              <w:jc w:val="center"/>
              <w:rPr>
                <w:rFonts w:eastAsia="宋体"/>
                <w:color w:val="000000"/>
                <w:sz w:val="21"/>
                <w:szCs w:val="21"/>
              </w:rPr>
            </w:pPr>
          </w:p>
        </w:tc>
        <w:tc>
          <w:tcPr>
            <w:tcW w:w="366" w:type="pct"/>
            <w:vAlign w:val="center"/>
          </w:tcPr>
          <w:p w14:paraId="4F44D78B">
            <w:pPr>
              <w:topLinePunct/>
              <w:ind w:firstLine="0" w:firstLineChars="0"/>
              <w:jc w:val="center"/>
              <w:rPr>
                <w:rFonts w:eastAsia="宋体"/>
                <w:color w:val="000000"/>
                <w:sz w:val="21"/>
                <w:szCs w:val="21"/>
              </w:rPr>
            </w:pPr>
            <w:r>
              <w:rPr>
                <w:rFonts w:hint="eastAsia" w:eastAsia="宋体"/>
                <w:color w:val="000000"/>
                <w:sz w:val="21"/>
                <w:szCs w:val="21"/>
              </w:rPr>
              <w:t>16</w:t>
            </w:r>
          </w:p>
        </w:tc>
        <w:tc>
          <w:tcPr>
            <w:tcW w:w="2192" w:type="pct"/>
            <w:vAlign w:val="center"/>
          </w:tcPr>
          <w:p w14:paraId="1F0DC105">
            <w:pPr>
              <w:topLinePunct/>
              <w:ind w:firstLine="0" w:firstLineChars="0"/>
              <w:jc w:val="center"/>
              <w:rPr>
                <w:rFonts w:eastAsia="宋体"/>
                <w:color w:val="000000"/>
                <w:sz w:val="21"/>
                <w:szCs w:val="21"/>
              </w:rPr>
            </w:pPr>
            <w:r>
              <w:rPr>
                <w:rFonts w:hint="eastAsia" w:eastAsia="宋体"/>
                <w:color w:val="000000"/>
                <w:sz w:val="21"/>
                <w:szCs w:val="21"/>
              </w:rPr>
              <w:t>草原综合植被盖度（%）</w:t>
            </w:r>
          </w:p>
        </w:tc>
        <w:tc>
          <w:tcPr>
            <w:tcW w:w="650" w:type="pct"/>
            <w:vAlign w:val="center"/>
          </w:tcPr>
          <w:p w14:paraId="6DB2A844">
            <w:pPr>
              <w:topLinePunct/>
              <w:ind w:firstLine="0" w:firstLineChars="0"/>
              <w:jc w:val="center"/>
              <w:rPr>
                <w:rFonts w:eastAsia="宋体"/>
                <w:color w:val="000000"/>
                <w:sz w:val="21"/>
                <w:szCs w:val="21"/>
              </w:rPr>
            </w:pPr>
            <w:r>
              <w:rPr>
                <w:rFonts w:hint="eastAsia" w:eastAsia="宋体"/>
                <w:color w:val="000000"/>
                <w:sz w:val="21"/>
                <w:szCs w:val="21"/>
              </w:rPr>
              <w:t>85.03</w:t>
            </w:r>
          </w:p>
        </w:tc>
        <w:tc>
          <w:tcPr>
            <w:tcW w:w="891" w:type="pct"/>
            <w:vAlign w:val="center"/>
          </w:tcPr>
          <w:p w14:paraId="79EE3588">
            <w:pPr>
              <w:topLinePunct/>
              <w:ind w:firstLine="0" w:firstLineChars="0"/>
              <w:jc w:val="center"/>
              <w:rPr>
                <w:rFonts w:eastAsia="宋体"/>
                <w:color w:val="000000"/>
                <w:sz w:val="21"/>
                <w:szCs w:val="21"/>
              </w:rPr>
            </w:pPr>
            <w:r>
              <w:rPr>
                <w:rFonts w:hint="eastAsia" w:eastAsia="宋体"/>
                <w:color w:val="000000"/>
                <w:sz w:val="21"/>
                <w:szCs w:val="21"/>
              </w:rPr>
              <w:t>≧85.03</w:t>
            </w:r>
          </w:p>
        </w:tc>
        <w:tc>
          <w:tcPr>
            <w:tcW w:w="518" w:type="pct"/>
            <w:vAlign w:val="center"/>
          </w:tcPr>
          <w:p w14:paraId="428893EC">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1F58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63A732A8">
            <w:pPr>
              <w:topLinePunct/>
              <w:ind w:firstLine="0" w:firstLineChars="0"/>
              <w:jc w:val="center"/>
              <w:rPr>
                <w:rFonts w:eastAsia="宋体"/>
                <w:color w:val="000000"/>
                <w:sz w:val="21"/>
                <w:szCs w:val="21"/>
              </w:rPr>
            </w:pPr>
          </w:p>
        </w:tc>
        <w:tc>
          <w:tcPr>
            <w:tcW w:w="366" w:type="pct"/>
            <w:vAlign w:val="center"/>
          </w:tcPr>
          <w:p w14:paraId="204F4ACC">
            <w:pPr>
              <w:topLinePunct/>
              <w:ind w:firstLine="0" w:firstLineChars="0"/>
              <w:jc w:val="center"/>
              <w:rPr>
                <w:rFonts w:eastAsia="宋体"/>
                <w:color w:val="000000"/>
                <w:sz w:val="21"/>
                <w:szCs w:val="21"/>
              </w:rPr>
            </w:pPr>
            <w:r>
              <w:rPr>
                <w:rFonts w:hint="eastAsia" w:eastAsia="宋体"/>
                <w:color w:val="000000"/>
                <w:sz w:val="21"/>
                <w:szCs w:val="21"/>
              </w:rPr>
              <w:t>17</w:t>
            </w:r>
          </w:p>
        </w:tc>
        <w:tc>
          <w:tcPr>
            <w:tcW w:w="2192" w:type="pct"/>
            <w:vAlign w:val="center"/>
          </w:tcPr>
          <w:p w14:paraId="1CF53FF0">
            <w:pPr>
              <w:topLinePunct/>
              <w:ind w:firstLine="0" w:firstLineChars="0"/>
              <w:jc w:val="center"/>
              <w:rPr>
                <w:rFonts w:eastAsia="宋体"/>
                <w:color w:val="000000"/>
                <w:sz w:val="21"/>
                <w:szCs w:val="21"/>
              </w:rPr>
            </w:pPr>
            <w:r>
              <w:rPr>
                <w:rFonts w:eastAsia="宋体"/>
                <w:color w:val="000000"/>
                <w:sz w:val="21"/>
                <w:szCs w:val="21"/>
              </w:rPr>
              <w:t>生态保护指数</w:t>
            </w:r>
            <w:r>
              <w:rPr>
                <w:rFonts w:hint="eastAsia" w:eastAsia="宋体"/>
                <w:color w:val="000000"/>
                <w:sz w:val="21"/>
                <w:szCs w:val="21"/>
              </w:rPr>
              <w:t>（EQI）</w:t>
            </w:r>
          </w:p>
        </w:tc>
        <w:tc>
          <w:tcPr>
            <w:tcW w:w="650" w:type="pct"/>
            <w:vAlign w:val="center"/>
          </w:tcPr>
          <w:p w14:paraId="07A2AD23">
            <w:pPr>
              <w:topLinePunct/>
              <w:ind w:firstLine="0" w:firstLineChars="0"/>
              <w:jc w:val="center"/>
              <w:rPr>
                <w:rFonts w:eastAsia="宋体"/>
                <w:color w:val="000000"/>
                <w:sz w:val="21"/>
                <w:szCs w:val="21"/>
              </w:rPr>
            </w:pPr>
            <w:r>
              <w:rPr>
                <w:rFonts w:hint="eastAsia" w:eastAsia="宋体"/>
                <w:color w:val="000000"/>
                <w:sz w:val="21"/>
                <w:szCs w:val="21"/>
              </w:rPr>
              <w:t>—</w:t>
            </w:r>
          </w:p>
        </w:tc>
        <w:tc>
          <w:tcPr>
            <w:tcW w:w="891" w:type="pct"/>
            <w:vAlign w:val="center"/>
          </w:tcPr>
          <w:p w14:paraId="06D8CE1E">
            <w:pPr>
              <w:topLinePunct/>
              <w:ind w:firstLine="0" w:firstLineChars="0"/>
              <w:jc w:val="center"/>
              <w:rPr>
                <w:rFonts w:eastAsia="宋体"/>
                <w:color w:val="000000"/>
                <w:sz w:val="21"/>
                <w:szCs w:val="21"/>
              </w:rPr>
            </w:pPr>
            <w:r>
              <w:rPr>
                <w:rFonts w:eastAsia="宋体"/>
                <w:color w:val="000000"/>
                <w:sz w:val="21"/>
                <w:szCs w:val="21"/>
              </w:rPr>
              <w:t>稳中向好</w:t>
            </w:r>
          </w:p>
        </w:tc>
        <w:tc>
          <w:tcPr>
            <w:tcW w:w="518" w:type="pct"/>
            <w:vAlign w:val="center"/>
          </w:tcPr>
          <w:p w14:paraId="4668036E">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3DF5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restart"/>
            <w:vAlign w:val="center"/>
          </w:tcPr>
          <w:p w14:paraId="1D2AB378">
            <w:pPr>
              <w:topLinePunct/>
              <w:ind w:firstLine="0" w:firstLineChars="0"/>
              <w:jc w:val="center"/>
              <w:rPr>
                <w:rFonts w:eastAsia="宋体"/>
                <w:color w:val="000000"/>
                <w:sz w:val="21"/>
                <w:szCs w:val="21"/>
              </w:rPr>
            </w:pPr>
            <w:r>
              <w:rPr>
                <w:rFonts w:hint="eastAsia" w:eastAsia="宋体"/>
                <w:color w:val="000000"/>
                <w:sz w:val="21"/>
                <w:szCs w:val="21"/>
              </w:rPr>
              <w:t>环境风险防控</w:t>
            </w:r>
          </w:p>
        </w:tc>
        <w:tc>
          <w:tcPr>
            <w:tcW w:w="366" w:type="pct"/>
            <w:vAlign w:val="center"/>
          </w:tcPr>
          <w:p w14:paraId="0A33B819">
            <w:pPr>
              <w:topLinePunct/>
              <w:ind w:firstLine="0" w:firstLineChars="0"/>
              <w:jc w:val="center"/>
              <w:rPr>
                <w:rFonts w:eastAsia="宋体"/>
                <w:color w:val="000000"/>
                <w:sz w:val="21"/>
                <w:szCs w:val="21"/>
              </w:rPr>
            </w:pPr>
            <w:r>
              <w:rPr>
                <w:rFonts w:hint="eastAsia" w:eastAsia="宋体"/>
                <w:color w:val="000000"/>
                <w:sz w:val="21"/>
                <w:szCs w:val="21"/>
              </w:rPr>
              <w:t>18</w:t>
            </w:r>
          </w:p>
        </w:tc>
        <w:tc>
          <w:tcPr>
            <w:tcW w:w="2192" w:type="pct"/>
            <w:vAlign w:val="center"/>
          </w:tcPr>
          <w:p w14:paraId="7D2A3EB7">
            <w:pPr>
              <w:topLinePunct/>
              <w:ind w:firstLine="0" w:firstLineChars="0"/>
              <w:jc w:val="center"/>
              <w:rPr>
                <w:rFonts w:eastAsia="宋体"/>
                <w:color w:val="000000"/>
                <w:sz w:val="21"/>
                <w:szCs w:val="21"/>
              </w:rPr>
            </w:pPr>
            <w:r>
              <w:rPr>
                <w:rFonts w:eastAsia="宋体"/>
                <w:color w:val="000000"/>
                <w:sz w:val="21"/>
                <w:szCs w:val="21"/>
              </w:rPr>
              <w:t>建设用地安全利用</w:t>
            </w:r>
          </w:p>
        </w:tc>
        <w:tc>
          <w:tcPr>
            <w:tcW w:w="650" w:type="pct"/>
            <w:vAlign w:val="center"/>
          </w:tcPr>
          <w:p w14:paraId="58B4F60E">
            <w:pPr>
              <w:topLinePunct/>
              <w:ind w:firstLine="0" w:firstLineChars="0"/>
              <w:jc w:val="center"/>
              <w:rPr>
                <w:rFonts w:eastAsia="宋体"/>
                <w:color w:val="000000"/>
                <w:sz w:val="21"/>
                <w:szCs w:val="21"/>
              </w:rPr>
            </w:pPr>
            <w:r>
              <w:rPr>
                <w:rFonts w:hint="eastAsia" w:eastAsia="宋体"/>
                <w:color w:val="000000"/>
                <w:sz w:val="21"/>
                <w:szCs w:val="21"/>
              </w:rPr>
              <w:t>有效保障</w:t>
            </w:r>
          </w:p>
        </w:tc>
        <w:tc>
          <w:tcPr>
            <w:tcW w:w="891" w:type="pct"/>
            <w:vAlign w:val="center"/>
          </w:tcPr>
          <w:p w14:paraId="31504F6D">
            <w:pPr>
              <w:topLinePunct/>
              <w:ind w:firstLine="0" w:firstLineChars="0"/>
              <w:jc w:val="center"/>
              <w:rPr>
                <w:rFonts w:eastAsia="宋体"/>
                <w:color w:val="000000"/>
                <w:sz w:val="21"/>
                <w:szCs w:val="21"/>
              </w:rPr>
            </w:pPr>
            <w:r>
              <w:rPr>
                <w:rFonts w:hint="eastAsia" w:eastAsia="宋体"/>
                <w:color w:val="000000"/>
                <w:sz w:val="21"/>
                <w:szCs w:val="21"/>
              </w:rPr>
              <w:t>有效保障</w:t>
            </w:r>
          </w:p>
        </w:tc>
        <w:tc>
          <w:tcPr>
            <w:tcW w:w="518" w:type="pct"/>
            <w:vAlign w:val="center"/>
          </w:tcPr>
          <w:p w14:paraId="7103E85A">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02CD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1958B440">
            <w:pPr>
              <w:topLinePunct/>
              <w:ind w:firstLine="0" w:firstLineChars="0"/>
              <w:jc w:val="center"/>
              <w:rPr>
                <w:rFonts w:eastAsia="宋体"/>
                <w:color w:val="000000"/>
                <w:sz w:val="21"/>
                <w:szCs w:val="21"/>
              </w:rPr>
            </w:pPr>
          </w:p>
        </w:tc>
        <w:tc>
          <w:tcPr>
            <w:tcW w:w="366" w:type="pct"/>
            <w:vAlign w:val="center"/>
          </w:tcPr>
          <w:p w14:paraId="7B07C7AC">
            <w:pPr>
              <w:topLinePunct/>
              <w:ind w:firstLine="0" w:firstLineChars="0"/>
              <w:jc w:val="center"/>
              <w:rPr>
                <w:rFonts w:eastAsia="宋体"/>
                <w:color w:val="000000"/>
                <w:sz w:val="21"/>
                <w:szCs w:val="21"/>
              </w:rPr>
            </w:pPr>
            <w:r>
              <w:rPr>
                <w:rFonts w:hint="eastAsia" w:eastAsia="宋体"/>
                <w:color w:val="000000"/>
                <w:sz w:val="21"/>
                <w:szCs w:val="21"/>
              </w:rPr>
              <w:t>19</w:t>
            </w:r>
          </w:p>
        </w:tc>
        <w:tc>
          <w:tcPr>
            <w:tcW w:w="2192" w:type="pct"/>
            <w:vAlign w:val="center"/>
          </w:tcPr>
          <w:p w14:paraId="74841C2C">
            <w:pPr>
              <w:topLinePunct/>
              <w:ind w:firstLine="0" w:firstLineChars="0"/>
              <w:jc w:val="center"/>
              <w:rPr>
                <w:rFonts w:eastAsia="宋体"/>
                <w:color w:val="000000"/>
                <w:sz w:val="21"/>
                <w:szCs w:val="21"/>
              </w:rPr>
            </w:pPr>
            <w:r>
              <w:rPr>
                <w:rFonts w:eastAsia="宋体"/>
                <w:color w:val="000000"/>
                <w:sz w:val="21"/>
                <w:szCs w:val="21"/>
              </w:rPr>
              <w:t>固体废物非法</w:t>
            </w:r>
            <w:r>
              <w:rPr>
                <w:rFonts w:hint="eastAsia" w:eastAsia="宋体"/>
                <w:color w:val="000000"/>
                <w:sz w:val="21"/>
                <w:szCs w:val="21"/>
              </w:rPr>
              <w:t>倾倒</w:t>
            </w:r>
            <w:r>
              <w:rPr>
                <w:rFonts w:eastAsia="宋体"/>
                <w:color w:val="000000"/>
                <w:sz w:val="21"/>
                <w:szCs w:val="21"/>
              </w:rPr>
              <w:t>和非法处置情况</w:t>
            </w:r>
          </w:p>
        </w:tc>
        <w:tc>
          <w:tcPr>
            <w:tcW w:w="650" w:type="pct"/>
            <w:vAlign w:val="center"/>
          </w:tcPr>
          <w:p w14:paraId="0B39CC95">
            <w:pPr>
              <w:topLinePunct/>
              <w:ind w:firstLine="0" w:firstLineChars="0"/>
              <w:jc w:val="center"/>
              <w:rPr>
                <w:rFonts w:eastAsia="宋体"/>
                <w:color w:val="000000"/>
                <w:sz w:val="21"/>
                <w:szCs w:val="21"/>
              </w:rPr>
            </w:pPr>
            <w:r>
              <w:rPr>
                <w:rFonts w:hint="eastAsia" w:eastAsia="宋体"/>
                <w:color w:val="000000"/>
                <w:sz w:val="21"/>
                <w:szCs w:val="21"/>
              </w:rPr>
              <w:t>—</w:t>
            </w:r>
          </w:p>
        </w:tc>
        <w:tc>
          <w:tcPr>
            <w:tcW w:w="891" w:type="pct"/>
            <w:vAlign w:val="center"/>
          </w:tcPr>
          <w:p w14:paraId="436A28B3">
            <w:pPr>
              <w:topLinePunct/>
              <w:ind w:firstLine="0" w:firstLineChars="0"/>
              <w:jc w:val="center"/>
              <w:rPr>
                <w:rFonts w:eastAsia="宋体"/>
                <w:color w:val="000000"/>
                <w:sz w:val="21"/>
                <w:szCs w:val="21"/>
              </w:rPr>
            </w:pPr>
            <w:r>
              <w:rPr>
                <w:rFonts w:hint="eastAsia" w:eastAsia="宋体"/>
                <w:color w:val="000000"/>
                <w:sz w:val="21"/>
                <w:szCs w:val="21"/>
              </w:rPr>
              <w:t>大幅减少</w:t>
            </w:r>
          </w:p>
        </w:tc>
        <w:tc>
          <w:tcPr>
            <w:tcW w:w="518" w:type="pct"/>
            <w:vAlign w:val="center"/>
          </w:tcPr>
          <w:p w14:paraId="5AA83A2F">
            <w:pPr>
              <w:topLinePunct/>
              <w:ind w:firstLine="0" w:firstLineChars="0"/>
              <w:jc w:val="center"/>
              <w:rPr>
                <w:rFonts w:eastAsia="宋体"/>
                <w:color w:val="000000"/>
                <w:sz w:val="21"/>
                <w:szCs w:val="21"/>
              </w:rPr>
            </w:pPr>
            <w:r>
              <w:rPr>
                <w:rFonts w:hint="eastAsia" w:eastAsia="宋体"/>
                <w:color w:val="000000"/>
                <w:sz w:val="21"/>
                <w:szCs w:val="21"/>
              </w:rPr>
              <w:t>预期性</w:t>
            </w:r>
          </w:p>
        </w:tc>
      </w:tr>
      <w:tr w14:paraId="59B5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83" w:type="pct"/>
            <w:vMerge w:val="continue"/>
            <w:vAlign w:val="center"/>
          </w:tcPr>
          <w:p w14:paraId="1017536B">
            <w:pPr>
              <w:topLinePunct/>
              <w:ind w:firstLine="0" w:firstLineChars="0"/>
              <w:jc w:val="center"/>
              <w:rPr>
                <w:rFonts w:eastAsia="宋体"/>
                <w:color w:val="000000"/>
                <w:sz w:val="21"/>
                <w:szCs w:val="21"/>
              </w:rPr>
            </w:pPr>
          </w:p>
        </w:tc>
        <w:tc>
          <w:tcPr>
            <w:tcW w:w="366" w:type="pct"/>
            <w:vAlign w:val="center"/>
          </w:tcPr>
          <w:p w14:paraId="69E7F255">
            <w:pPr>
              <w:topLinePunct/>
              <w:ind w:firstLine="0" w:firstLineChars="0"/>
              <w:jc w:val="center"/>
              <w:rPr>
                <w:rFonts w:eastAsia="宋体"/>
                <w:color w:val="000000"/>
                <w:sz w:val="21"/>
                <w:szCs w:val="21"/>
              </w:rPr>
            </w:pPr>
            <w:r>
              <w:rPr>
                <w:rFonts w:hint="eastAsia" w:eastAsia="宋体"/>
                <w:color w:val="000000"/>
                <w:sz w:val="21"/>
                <w:szCs w:val="21"/>
              </w:rPr>
              <w:t>20</w:t>
            </w:r>
          </w:p>
        </w:tc>
        <w:tc>
          <w:tcPr>
            <w:tcW w:w="2192" w:type="pct"/>
            <w:vAlign w:val="center"/>
          </w:tcPr>
          <w:p w14:paraId="02489C25">
            <w:pPr>
              <w:topLinePunct/>
              <w:ind w:firstLine="0" w:firstLineChars="0"/>
              <w:jc w:val="center"/>
              <w:rPr>
                <w:rFonts w:eastAsia="宋体"/>
                <w:color w:val="000000"/>
                <w:sz w:val="21"/>
                <w:szCs w:val="21"/>
              </w:rPr>
            </w:pPr>
            <w:r>
              <w:rPr>
                <w:rFonts w:eastAsia="宋体"/>
                <w:color w:val="000000"/>
                <w:sz w:val="21"/>
                <w:szCs w:val="21"/>
              </w:rPr>
              <w:t>核与辐射安全指数（%）</w:t>
            </w:r>
          </w:p>
        </w:tc>
        <w:tc>
          <w:tcPr>
            <w:tcW w:w="650" w:type="pct"/>
            <w:vAlign w:val="center"/>
          </w:tcPr>
          <w:p w14:paraId="369AF52F">
            <w:pPr>
              <w:topLinePunct/>
              <w:ind w:firstLine="0" w:firstLineChars="0"/>
              <w:jc w:val="center"/>
              <w:rPr>
                <w:rFonts w:eastAsia="宋体"/>
                <w:color w:val="000000"/>
                <w:sz w:val="21"/>
                <w:szCs w:val="21"/>
              </w:rPr>
            </w:pPr>
            <w:r>
              <w:rPr>
                <w:rFonts w:hint="eastAsia" w:eastAsia="宋体"/>
                <w:color w:val="000000"/>
                <w:sz w:val="21"/>
                <w:szCs w:val="21"/>
              </w:rPr>
              <w:t>—</w:t>
            </w:r>
          </w:p>
        </w:tc>
        <w:tc>
          <w:tcPr>
            <w:tcW w:w="891" w:type="pct"/>
            <w:vAlign w:val="center"/>
          </w:tcPr>
          <w:p w14:paraId="71BCD953">
            <w:pPr>
              <w:topLinePunct/>
              <w:ind w:firstLine="0" w:firstLineChars="0"/>
              <w:jc w:val="center"/>
              <w:rPr>
                <w:rFonts w:eastAsia="宋体"/>
                <w:color w:val="000000"/>
                <w:sz w:val="21"/>
                <w:szCs w:val="21"/>
              </w:rPr>
            </w:pPr>
            <w:r>
              <w:rPr>
                <w:rFonts w:hint="eastAsia" w:eastAsia="宋体"/>
                <w:color w:val="000000"/>
                <w:sz w:val="21"/>
                <w:szCs w:val="21"/>
              </w:rPr>
              <w:t>—</w:t>
            </w:r>
          </w:p>
        </w:tc>
        <w:tc>
          <w:tcPr>
            <w:tcW w:w="518" w:type="pct"/>
            <w:vAlign w:val="center"/>
          </w:tcPr>
          <w:p w14:paraId="74EA4068">
            <w:pPr>
              <w:topLinePunct/>
              <w:ind w:firstLine="0" w:firstLineChars="0"/>
              <w:jc w:val="center"/>
              <w:rPr>
                <w:rFonts w:eastAsia="宋体"/>
                <w:color w:val="000000"/>
                <w:sz w:val="21"/>
                <w:szCs w:val="21"/>
              </w:rPr>
            </w:pPr>
            <w:r>
              <w:rPr>
                <w:rFonts w:hint="eastAsia" w:eastAsia="宋体"/>
                <w:color w:val="000000"/>
                <w:sz w:val="21"/>
                <w:szCs w:val="21"/>
              </w:rPr>
              <w:t>预期性</w:t>
            </w:r>
          </w:p>
        </w:tc>
      </w:tr>
    </w:tbl>
    <w:p w14:paraId="2EB9C37C">
      <w:pPr>
        <w:topLinePunct/>
        <w:ind w:firstLine="0" w:firstLineChars="0"/>
        <w:jc w:val="center"/>
        <w:rPr>
          <w:rFonts w:ascii="黑体" w:hAnsi="黑体" w:eastAsia="黑体"/>
          <w:color w:val="000000"/>
          <w:sz w:val="21"/>
          <w:szCs w:val="21"/>
          <w:highlight w:val="yellow"/>
        </w:rPr>
      </w:pPr>
    </w:p>
    <w:p w14:paraId="278D4AC2">
      <w:pPr>
        <w:topLinePunct/>
        <w:ind w:firstLine="0" w:firstLineChars="0"/>
        <w:jc w:val="center"/>
        <w:rPr>
          <w:rFonts w:eastAsia="宋体"/>
          <w:color w:val="000000"/>
          <w:sz w:val="21"/>
          <w:szCs w:val="21"/>
        </w:rPr>
      </w:pPr>
      <w:r>
        <w:rPr>
          <w:rFonts w:hint="eastAsia" w:eastAsia="宋体"/>
          <w:color w:val="000000"/>
          <w:sz w:val="21"/>
          <w:szCs w:val="21"/>
        </w:rPr>
        <w:t>注：1.〔〕内为累计值。2.*为2023—2025年均值。3.优良水体比例、好Ⅲ水质比例和地下水优良水质比例2025年值和目标值的计算口径为“十五五”国考地表水、地下水环境质量监测断面（点位）。4.核与辐射安全指数目标值为五年均值。</w:t>
      </w:r>
    </w:p>
    <w:p w14:paraId="7279BEBA">
      <w:pPr>
        <w:widowControl/>
        <w:ind w:firstLine="0" w:firstLineChars="0"/>
        <w:jc w:val="left"/>
        <w:rPr>
          <w:b/>
          <w:bCs/>
          <w:lang w:bidi="zh-CN"/>
        </w:rPr>
      </w:pPr>
      <w:r>
        <w:rPr>
          <w:b/>
          <w:bCs/>
          <w:lang w:bidi="zh-CN"/>
        </w:rPr>
        <w:br w:type="page"/>
      </w:r>
    </w:p>
    <w:p w14:paraId="73CBB89E">
      <w:pPr>
        <w:pStyle w:val="3"/>
        <w:spacing w:before="156" w:after="156"/>
      </w:pPr>
      <w:bookmarkStart w:id="21" w:name="_Toc14801"/>
      <w:bookmarkStart w:id="22" w:name="_Toc20073"/>
      <w:bookmarkStart w:id="23" w:name="_Toc21829"/>
      <w:bookmarkStart w:id="24" w:name="_Toc171087396"/>
      <w:bookmarkStart w:id="25" w:name="_Toc4955"/>
      <w:r>
        <w:rPr>
          <w:rFonts w:hint="eastAsia"/>
        </w:rPr>
        <w:t>第</w:t>
      </w:r>
      <w:r>
        <w:rPr>
          <w:rFonts w:hint="eastAsia"/>
          <w:lang w:val="en-US" w:eastAsia="zh-CN"/>
        </w:rPr>
        <w:t>二</w:t>
      </w:r>
      <w:r>
        <w:rPr>
          <w:rFonts w:hint="eastAsia"/>
        </w:rPr>
        <w:t>章</w:t>
      </w:r>
      <w:r>
        <w:rPr>
          <w:rFonts w:ascii="方正小标宋简体"/>
        </w:rPr>
        <w:t> </w:t>
      </w:r>
      <w:r>
        <w:rPr>
          <w:rFonts w:hint="eastAsia" w:ascii="方正小标宋简体"/>
        </w:rPr>
        <w:t>强化上游生态系统保护修复</w:t>
      </w:r>
      <w:bookmarkEnd w:id="21"/>
    </w:p>
    <w:p w14:paraId="6066D63D">
      <w:pPr>
        <w:pStyle w:val="4"/>
        <w:spacing w:before="156" w:after="156"/>
      </w:pPr>
      <w:bookmarkStart w:id="26" w:name="_Toc29067"/>
      <w:r>
        <w:rPr>
          <w:rFonts w:hint="eastAsia"/>
        </w:rPr>
        <w:t>第一节</w:t>
      </w:r>
      <w:r>
        <w:rPr>
          <w:rFonts w:ascii="方正小标宋简体"/>
        </w:rPr>
        <w:t> </w:t>
      </w:r>
      <w:r>
        <w:rPr>
          <w:rFonts w:hint="eastAsia"/>
        </w:rPr>
        <w:t>筑牢上游生态屏障</w:t>
      </w:r>
      <w:bookmarkEnd w:id="26"/>
    </w:p>
    <w:p w14:paraId="3762D75A">
      <w:pPr>
        <w:spacing w:line="600" w:lineRule="exact"/>
        <w:ind w:firstLine="643"/>
      </w:pPr>
      <w:r>
        <w:rPr>
          <w:rFonts w:hint="eastAsia"/>
          <w:b/>
          <w:bCs/>
        </w:rPr>
        <w:t>优化生态安全格局</w:t>
      </w:r>
      <w:r>
        <w:rPr>
          <w:rFonts w:hint="eastAsia"/>
        </w:rPr>
        <w:t>。坚持海拔分区、立体施策，严守生态保护红线，优先保护四姑娘山</w:t>
      </w:r>
      <w:r>
        <w:t>国家级</w:t>
      </w:r>
      <w:r>
        <w:rPr>
          <w:rFonts w:hint="eastAsia"/>
        </w:rPr>
        <w:t>自然保护区、四姑娘山</w:t>
      </w:r>
      <w:r>
        <w:t>国家级</w:t>
      </w:r>
      <w:r>
        <w:rPr>
          <w:rFonts w:hint="eastAsia"/>
        </w:rPr>
        <w:t>风景名胜区、</w:t>
      </w:r>
      <w:r>
        <w:t>四川</w:t>
      </w:r>
      <w:r>
        <w:rPr>
          <w:rFonts w:hint="eastAsia"/>
        </w:rPr>
        <w:t>夹金山</w:t>
      </w:r>
      <w:r>
        <w:t>国家级</w:t>
      </w:r>
      <w:r>
        <w:rPr>
          <w:rFonts w:hint="eastAsia"/>
        </w:rPr>
        <w:t>森林公园</w:t>
      </w:r>
      <w:r>
        <w:t>（小金部分）</w:t>
      </w:r>
      <w:r>
        <w:rPr>
          <w:rFonts w:hint="eastAsia"/>
        </w:rPr>
        <w:t>、</w:t>
      </w:r>
      <w:r>
        <w:t>四川</w:t>
      </w:r>
      <w:r>
        <w:rPr>
          <w:rFonts w:hint="eastAsia"/>
        </w:rPr>
        <w:t>梦笔山森林公园等生态屏障区，构建沃日河（小金川）、抚边河河谷绿色发展走廊，优化小金县“三片（东部生态屏障区、西部生态屏障区、南部生态涵养片区）两廊（黄金河谷绿色发展走廊、抚边河绿色发展走廊）”的空间格局，协调人地关系。提高国土开发质量和效率，强化国土空间生态修复和综合整治，全面提升国土空间治理体系和治理能力现代化水平。维护生态空间，全面提高生态安全水平和生态系统服务价值。</w:t>
      </w:r>
    </w:p>
    <w:p w14:paraId="4FE85339">
      <w:pPr>
        <w:pStyle w:val="4"/>
        <w:spacing w:before="156" w:after="156"/>
      </w:pPr>
      <w:bookmarkStart w:id="27" w:name="_Toc6463"/>
      <w:r>
        <w:rPr>
          <w:rFonts w:hint="eastAsia"/>
        </w:rPr>
        <w:t>第二节</w:t>
      </w:r>
      <w:r>
        <w:rPr>
          <w:rFonts w:ascii="方正小标宋简体"/>
        </w:rPr>
        <w:t> </w:t>
      </w:r>
      <w:r>
        <w:rPr>
          <w:rFonts w:hint="eastAsia"/>
        </w:rPr>
        <w:t>构建自然保护地体系</w:t>
      </w:r>
      <w:bookmarkEnd w:id="27"/>
    </w:p>
    <w:p w14:paraId="63C6FAFA">
      <w:pPr>
        <w:spacing w:line="600" w:lineRule="exact"/>
        <w:ind w:firstLine="643"/>
      </w:pPr>
      <w:r>
        <w:rPr>
          <w:rFonts w:hint="eastAsia"/>
          <w:b/>
          <w:bCs/>
        </w:rPr>
        <w:t>推进自然保护地提档升级</w:t>
      </w:r>
      <w:r>
        <w:rPr>
          <w:rFonts w:hint="eastAsia"/>
        </w:rPr>
        <w:t>。高质量建设四姑娘山世界地质公园，应紧扣“中国户外运动第一山”目标，落实《世界地质公园管理办法》，建立地质遗迹动态监测与保护修复机制，持续提升公园运营管理水平与国际影响力。</w:t>
      </w:r>
      <w:r>
        <w:t>落实自然保护地整合优化成果，建立自然保护地名录，对自然保护地实行特殊保护制度。</w:t>
      </w:r>
      <w:r>
        <w:rPr>
          <w:rFonts w:hint="eastAsia"/>
        </w:rPr>
        <w:t>构建</w:t>
      </w:r>
      <w:r>
        <w:t>“2+2+1”的两级自然保护地体系</w:t>
      </w:r>
      <w:r>
        <w:rPr>
          <w:rFonts w:hint="eastAsia"/>
        </w:rPr>
        <w:t>。</w:t>
      </w:r>
      <w:r>
        <w:t>编制四川宅垄猕猴自然保护区总体规划，改造提升夹金山国家森林公园基础设施</w:t>
      </w:r>
      <w:r>
        <w:rPr>
          <w:rFonts w:hint="eastAsia"/>
        </w:rPr>
        <w:t>。</w:t>
      </w:r>
      <w:r>
        <w:t>推进自然资源资产确权登记，进一步完善自然资源统一确权登记办法，每个自然保护地作为独立的登记单元，清晰界定区域内各类自然资源资产的产权主体，划清各类自然资源资产所有权、使用权的边界，明确各类自然资源资产的种类、面积和权属性质</w:t>
      </w:r>
      <w:r>
        <w:rPr>
          <w:rFonts w:hint="eastAsia"/>
        </w:rPr>
        <w:t>。加强保护能力建设，完善围栏、巡护道路、检查站、瞭望塔等保护设施。</w:t>
      </w:r>
    </w:p>
    <w:p w14:paraId="5754FA12">
      <w:pPr>
        <w:pStyle w:val="4"/>
        <w:spacing w:before="156" w:after="156"/>
      </w:pPr>
      <w:bookmarkStart w:id="28" w:name="_Toc12397"/>
      <w:r>
        <w:rPr>
          <w:rFonts w:hint="eastAsia"/>
        </w:rPr>
        <w:t>第三节</w:t>
      </w:r>
      <w:r>
        <w:rPr>
          <w:rFonts w:ascii="方正小标宋简体"/>
        </w:rPr>
        <w:t> </w:t>
      </w:r>
      <w:r>
        <w:rPr>
          <w:rFonts w:hint="eastAsia" w:ascii="方正小标宋简体"/>
        </w:rPr>
        <w:t>强化森林生态系统保护修复</w:t>
      </w:r>
      <w:bookmarkEnd w:id="28"/>
    </w:p>
    <w:p w14:paraId="03127E7E">
      <w:pPr>
        <w:spacing w:line="600" w:lineRule="exact"/>
        <w:ind w:firstLine="643"/>
        <w:rPr>
          <w:color w:val="000000"/>
          <w:szCs w:val="32"/>
        </w:rPr>
      </w:pPr>
      <w:r>
        <w:rPr>
          <w:rFonts w:hint="eastAsia"/>
          <w:b/>
          <w:bCs/>
          <w:color w:val="000000"/>
          <w:szCs w:val="32"/>
        </w:rPr>
        <w:t>保护修复森林生态系统</w:t>
      </w:r>
      <w:r>
        <w:rPr>
          <w:rFonts w:hint="eastAsia"/>
          <w:color w:val="000000"/>
          <w:szCs w:val="32"/>
        </w:rPr>
        <w:t>。统筹“天府森林四库”建设，强化森林生态系统保护修复，科学开展国土绿化。重点围绕四川大熊猫栖息地自然遗产、四姑娘山国家级自然保护区、四姑娘山国家级风景名胜区、夹金山国家森林公园（小金部分）、四川梦笔山森林公园等，实施森林质量精准提升工程</w:t>
      </w:r>
      <w:r>
        <w:rPr>
          <w:rFonts w:hint="eastAsia"/>
          <w:color w:val="000000"/>
          <w:szCs w:val="32"/>
          <w:lang w:eastAsia="zh-CN"/>
        </w:rPr>
        <w:t>、森林抚育项目</w:t>
      </w:r>
      <w:r>
        <w:rPr>
          <w:rFonts w:hint="eastAsia"/>
          <w:color w:val="000000"/>
          <w:szCs w:val="32"/>
        </w:rPr>
        <w:t>。扎实开展森林草原防灭火体系建设和森林病虫害防治。实施“绿化小金”行动，有序推进低效园地、未利用地等可绿化空间造林种草、补绿复绿，继续推进县城和重点乡镇、村庄、公路沿线等绿化行动，提高森林覆盖率</w:t>
      </w:r>
      <w:r>
        <w:rPr>
          <w:color w:val="000000"/>
          <w:szCs w:val="32"/>
        </w:rPr>
        <w:t>。</w:t>
      </w:r>
      <w:r>
        <w:rPr>
          <w:rFonts w:hint="eastAsia"/>
          <w:color w:val="000000"/>
          <w:szCs w:val="32"/>
        </w:rPr>
        <w:t>到2030年，森林覆盖率保持在30.21%以上。</w:t>
      </w:r>
    </w:p>
    <w:p w14:paraId="2A23B8B3">
      <w:pPr>
        <w:pStyle w:val="4"/>
        <w:spacing w:before="156" w:after="156"/>
      </w:pPr>
      <w:bookmarkStart w:id="29" w:name="_Toc3893"/>
      <w:r>
        <w:rPr>
          <w:rFonts w:hint="eastAsia"/>
        </w:rPr>
        <w:t>第四节</w:t>
      </w:r>
      <w:r>
        <w:rPr>
          <w:rFonts w:ascii="方正小标宋简体"/>
        </w:rPr>
        <w:t> </w:t>
      </w:r>
      <w:r>
        <w:rPr>
          <w:rFonts w:hint="eastAsia" w:ascii="方正小标宋简体"/>
        </w:rPr>
        <w:t>推进草原生态系统保护修复</w:t>
      </w:r>
      <w:bookmarkEnd w:id="29"/>
    </w:p>
    <w:p w14:paraId="65D0E913">
      <w:pPr>
        <w:spacing w:line="600" w:lineRule="exact"/>
        <w:ind w:firstLine="643"/>
        <w:rPr>
          <w:color w:val="000000"/>
          <w:szCs w:val="32"/>
        </w:rPr>
      </w:pPr>
      <w:r>
        <w:rPr>
          <w:rFonts w:hint="eastAsia"/>
          <w:b/>
          <w:bCs/>
          <w:color w:val="000000"/>
          <w:szCs w:val="32"/>
        </w:rPr>
        <w:t>恢复草原生态系统功能</w:t>
      </w:r>
      <w:r>
        <w:rPr>
          <w:rFonts w:hint="eastAsia"/>
          <w:color w:val="000000"/>
          <w:szCs w:val="32"/>
        </w:rPr>
        <w:t>。强化草地资源保护，实施国家第四轮草原生态补助奖励政策，完善监管网络，强化草原禁牧休牧制度和草畜平衡制度执行监管。对严重退化、沙化、盐碱化、石漠化的草原和生态脆弱区的草原，实行禁牧、休牧制度。持续实施草原保护修复，因地制宜推进免耕补播、人工种草、草原改良、草原有害生物绿色防控等技术措施。到2030年，草原综合植被盖度保持在85.03%以上。</w:t>
      </w:r>
    </w:p>
    <w:p w14:paraId="3348F48F">
      <w:pPr>
        <w:pStyle w:val="4"/>
        <w:spacing w:before="156" w:after="156"/>
        <w:rPr>
          <w:color w:val="000000"/>
        </w:rPr>
      </w:pPr>
      <w:bookmarkStart w:id="30" w:name="_Toc22614"/>
      <w:r>
        <w:rPr>
          <w:rFonts w:hint="eastAsia"/>
        </w:rPr>
        <w:t>第五节</w:t>
      </w:r>
      <w:r>
        <w:rPr>
          <w:rFonts w:ascii="方正小标宋简体"/>
        </w:rPr>
        <w:t> </w:t>
      </w:r>
      <w:r>
        <w:rPr>
          <w:rFonts w:hint="eastAsia" w:ascii="方正小标宋简体"/>
        </w:rPr>
        <w:t>强化其他领域保护修复</w:t>
      </w:r>
      <w:bookmarkEnd w:id="30"/>
    </w:p>
    <w:p w14:paraId="5B7A4409">
      <w:pPr>
        <w:spacing w:line="600" w:lineRule="exact"/>
        <w:ind w:firstLine="643"/>
      </w:pPr>
      <w:r>
        <w:rPr>
          <w:rFonts w:hint="eastAsia"/>
          <w:b/>
          <w:bCs/>
          <w:color w:val="000000"/>
          <w:szCs w:val="32"/>
        </w:rPr>
        <w:t>开展重点领域生态系统保护修复</w:t>
      </w:r>
      <w:r>
        <w:rPr>
          <w:rFonts w:hint="eastAsia"/>
          <w:color w:val="000000"/>
          <w:szCs w:val="32"/>
        </w:rPr>
        <w:t>。落实湿地总量管控和用途管制，实行湿地分级分类管理，持续开展湿地海子保护行动，创新湿地保护管理机制，确</w:t>
      </w:r>
      <w:r>
        <w:rPr>
          <w:rFonts w:hint="eastAsia"/>
          <w:szCs w:val="32"/>
        </w:rPr>
        <w:t xml:space="preserve">保 </w:t>
      </w:r>
      <w:r>
        <w:rPr>
          <w:szCs w:val="32"/>
        </w:rPr>
        <w:t>0.86</w:t>
      </w:r>
      <w:r>
        <w:rPr>
          <w:rFonts w:hint="eastAsia"/>
          <w:szCs w:val="32"/>
        </w:rPr>
        <w:t>万亩湿</w:t>
      </w:r>
      <w:r>
        <w:rPr>
          <w:rFonts w:hint="eastAsia"/>
          <w:color w:val="000000"/>
          <w:szCs w:val="32"/>
        </w:rPr>
        <w:t>地岸线不退化。实施以河流和城镇周边生态脆弱区、滑坡泥石流等地质灾害多发区和水源保护区为重点的水土流失综合治理工程。以小金川河为重点实施防洪提升工程，完善县级山洪灾害防治非工程措施。以小草坝钨钼矿为重点，全面落实矿山企业“边开采边治理”要求，强化矿山生态修复，提升资源高效利用、环境保护、土地复垦，积极开展绿色矿山建设。持续开展雪山冰川保护行动，建立冰川退缩预警与系统保护机制，维护区域生态安全。</w:t>
      </w:r>
    </w:p>
    <w:p w14:paraId="526FA921">
      <w:pPr>
        <w:pStyle w:val="4"/>
        <w:spacing w:before="156" w:after="156"/>
      </w:pPr>
      <w:bookmarkStart w:id="31" w:name="_Toc5427"/>
      <w:r>
        <w:rPr>
          <w:rFonts w:hint="eastAsia"/>
        </w:rPr>
        <w:t>第六节</w:t>
      </w:r>
      <w:r>
        <w:rPr>
          <w:rFonts w:ascii="方正小标宋简体"/>
        </w:rPr>
        <w:t> </w:t>
      </w:r>
      <w:r>
        <w:rPr>
          <w:rFonts w:hint="eastAsia"/>
        </w:rPr>
        <w:t>加强生物多样性保护</w:t>
      </w:r>
      <w:bookmarkEnd w:id="31"/>
    </w:p>
    <w:p w14:paraId="6D929013">
      <w:pPr>
        <w:spacing w:line="600" w:lineRule="exact"/>
        <w:ind w:firstLine="643"/>
      </w:pPr>
      <w:r>
        <w:rPr>
          <w:rFonts w:hint="eastAsia"/>
          <w:b/>
          <w:bCs/>
        </w:rPr>
        <w:t>强化生物多样性保护与监管</w:t>
      </w:r>
      <w:r>
        <w:rPr>
          <w:rFonts w:hint="eastAsia"/>
        </w:rPr>
        <w:t>。</w:t>
      </w:r>
      <w:r>
        <w:t>持续开展野生动物保护行动</w:t>
      </w:r>
      <w:r>
        <w:rPr>
          <w:rFonts w:hint="eastAsia"/>
        </w:rPr>
        <w:t>，</w:t>
      </w:r>
      <w:r>
        <w:t>对生物栖息地进行生境恢复和保护，</w:t>
      </w:r>
      <w:r>
        <w:rPr>
          <w:rFonts w:hint="eastAsia"/>
        </w:rPr>
        <w:t>建立大熊猫、四川羚牛、雪豹等珍稀野生动物栖息地廊道。</w:t>
      </w:r>
      <w:r>
        <w:rPr>
          <w:rFonts w:hint="eastAsia"/>
          <w:lang w:val="en-US" w:eastAsia="zh-CN"/>
        </w:rPr>
        <w:t>实施大熊猫栖息世界遗产地珍稀植物封禁保护项目。</w:t>
      </w:r>
      <w:r>
        <w:t>持续加强</w:t>
      </w:r>
      <w:r>
        <w:rPr>
          <w:rFonts w:hint="eastAsia"/>
        </w:rPr>
        <w:t>红豆杉等国家一级保护植物实施就地保护和迁地保育。加强中华蝙蝠蛾、野生虫草资源保护与管理。</w:t>
      </w:r>
      <w:r>
        <w:t>全面推进长江“十年禁渔”“四清四无”专项行动，</w:t>
      </w:r>
      <w:r>
        <w:rPr>
          <w:rFonts w:hint="eastAsia"/>
        </w:rPr>
        <w:t>实施川陕哲罗鲑等珍稀特有水生物种保护行动，持续开展重口裂腹鱼、齐口裂腹鱼等鱼类增殖放流工作。</w:t>
      </w:r>
      <w:r>
        <w:t>坚决打击偷猎</w:t>
      </w:r>
      <w:r>
        <w:rPr>
          <w:rFonts w:hint="eastAsia"/>
        </w:rPr>
        <w:t>珍稀野生动物</w:t>
      </w:r>
      <w:r>
        <w:t>违法犯罪行为</w:t>
      </w:r>
      <w:r>
        <w:rPr>
          <w:rFonts w:hint="eastAsia"/>
        </w:rPr>
        <w:t>。加强城乡生物多样性保护，探索利用基于自然的解决方案协调解决生物多样性和人居环境问题，制定土地开发计划适当“留白”，在城镇和乡村预留野生动植物生存空间，通过构建生物踏脚石、廊道以及栖息地等，保护恢复城乡生物多样性。积极探索营建生物多样性友好单元和体验地建设，开展生物多样性科普宣传与生态体验，提升公众保护意识。到 2030年，重点野生动植物保护率保持 95%及以上。</w:t>
      </w:r>
    </w:p>
    <w:p w14:paraId="03E36372">
      <w:pPr>
        <w:pStyle w:val="4"/>
        <w:spacing w:before="156" w:after="156"/>
      </w:pPr>
      <w:bookmarkStart w:id="32" w:name="_Toc31690"/>
      <w:r>
        <w:rPr>
          <w:rFonts w:hint="eastAsia"/>
        </w:rPr>
        <w:t>第七节</w:t>
      </w:r>
      <w:r>
        <w:rPr>
          <w:rFonts w:ascii="方正小标宋简体"/>
        </w:rPr>
        <w:t> </w:t>
      </w:r>
      <w:r>
        <w:rPr>
          <w:rFonts w:hint="eastAsia"/>
        </w:rPr>
        <w:t>强化生态保护监管</w:t>
      </w:r>
      <w:bookmarkEnd w:id="32"/>
    </w:p>
    <w:p w14:paraId="70248C41">
      <w:pPr>
        <w:topLinePunct/>
        <w:spacing w:line="600" w:lineRule="exact"/>
        <w:ind w:firstLine="643"/>
        <w:rPr>
          <w:color w:val="000000"/>
          <w:szCs w:val="32"/>
        </w:rPr>
      </w:pPr>
      <w:r>
        <w:rPr>
          <w:rFonts w:hint="eastAsia"/>
          <w:b/>
          <w:bCs/>
          <w:color w:val="000000"/>
          <w:szCs w:val="32"/>
        </w:rPr>
        <w:t>开展生态保护修复成效评估</w:t>
      </w:r>
      <w:r>
        <w:rPr>
          <w:rFonts w:hint="eastAsia"/>
          <w:color w:val="000000"/>
          <w:szCs w:val="32"/>
        </w:rPr>
        <w:t>。实施差异化、精细化管理，严守生态保护红线，划定生态保护红线面积 2776.18 平方公里。加强生态保护红线的执法监督，充分贯彻《中华人民共和国生态环境法典》的相关要求，建立生态保护红线常态化执法机制，定期开展执法督查，不断提高执法规范化水平，确保我县生态保护红线面积不减少，性质不改变，功能不降低。统筹推进自然保护地、生态保护红线等重要生态空间生态环境监管，按照国家统一部署，定期实施人类活动问题核查，开展生态功能变化成效评估。持续推进生态保护修复监管体系和监管能力现代化，提升生态质量监测能力，按照国家、四川省安排，配合实施辖区内自然保护区和自然公园生态环境保护成效评估，强化“全过程”“全链条”监管。</w:t>
      </w:r>
    </w:p>
    <w:p w14:paraId="69E5051A">
      <w:pPr>
        <w:autoSpaceDE w:val="0"/>
        <w:autoSpaceDN w:val="0"/>
        <w:snapToGrid w:val="0"/>
        <w:spacing w:line="600" w:lineRule="exact"/>
        <w:ind w:firstLine="0" w:firstLineChars="0"/>
        <w:jc w:val="center"/>
        <w:outlineLvl w:val="1"/>
        <w:rPr>
          <w:b/>
          <w:bCs/>
        </w:rPr>
      </w:pPr>
      <w:bookmarkStart w:id="33" w:name="_Toc32428"/>
      <w:r>
        <w:rPr>
          <w:b/>
          <w:bCs/>
        </w:rPr>
        <w:t>专栏</w:t>
      </w:r>
      <w:r>
        <w:rPr>
          <w:rFonts w:hint="eastAsia"/>
          <w:b/>
          <w:bCs/>
          <w:lang w:val="en-US" w:eastAsia="zh-CN"/>
        </w:rPr>
        <w:t>一</w:t>
      </w:r>
      <w:r>
        <w:rPr>
          <w:b/>
          <w:bCs/>
        </w:rPr>
        <w:t xml:space="preserve">  生态</w:t>
      </w:r>
      <w:r>
        <w:rPr>
          <w:rFonts w:hint="eastAsia"/>
          <w:b/>
          <w:bCs/>
        </w:rPr>
        <w:t>安全屏障</w:t>
      </w:r>
      <w:r>
        <w:rPr>
          <w:b/>
          <w:bCs/>
        </w:rPr>
        <w:t>重点项目</w:t>
      </w:r>
      <w:bookmarkEnd w:id="33"/>
    </w:p>
    <w:tbl>
      <w:tblPr>
        <w:tblStyle w:val="26"/>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1"/>
      </w:tblGrid>
      <w:tr w14:paraId="3BA0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2D08F89F">
            <w:pPr>
              <w:spacing w:line="400" w:lineRule="exact"/>
              <w:ind w:firstLine="482"/>
              <w:jc w:val="left"/>
              <w:rPr>
                <w:b/>
                <w:bCs/>
                <w:sz w:val="24"/>
              </w:rPr>
            </w:pPr>
            <w:r>
              <w:rPr>
                <w:b/>
                <w:bCs/>
                <w:sz w:val="24"/>
              </w:rPr>
              <w:t>（</w:t>
            </w:r>
            <w:r>
              <w:rPr>
                <w:rFonts w:hint="eastAsia"/>
                <w:b/>
                <w:bCs/>
                <w:sz w:val="24"/>
              </w:rPr>
              <w:t>一</w:t>
            </w:r>
            <w:r>
              <w:rPr>
                <w:b/>
                <w:bCs/>
                <w:sz w:val="24"/>
              </w:rPr>
              <w:t>）生态系统保护与修复工程</w:t>
            </w:r>
          </w:p>
          <w:p w14:paraId="0D1E9E3B">
            <w:pPr>
              <w:spacing w:line="400" w:lineRule="exact"/>
              <w:ind w:firstLine="480"/>
              <w:jc w:val="left"/>
              <w:rPr>
                <w:rFonts w:hint="eastAsia"/>
                <w:sz w:val="24"/>
              </w:rPr>
            </w:pPr>
            <w:r>
              <w:rPr>
                <w:rFonts w:hint="eastAsia"/>
                <w:sz w:val="24"/>
              </w:rPr>
              <w:t>（1）实施2028年小金县国有林保护局森林抚育、小金县森林草原防灭火项目</w:t>
            </w:r>
            <w:r>
              <w:rPr>
                <w:rFonts w:hint="eastAsia"/>
                <w:sz w:val="24"/>
                <w:lang w:eastAsia="zh-CN"/>
              </w:rPr>
              <w:t>、小金县2024年中央财政林业草原专项资金预算（第三批）草原生态修复治理项目、2025年四川省阿坝州小金县大渡河流域生物多样性保护与水源涵养生态修复项目、小金县林业和草原有害生物防治项目</w:t>
            </w:r>
            <w:r>
              <w:rPr>
                <w:rFonts w:hint="eastAsia"/>
                <w:sz w:val="24"/>
              </w:rPr>
              <w:t>。</w:t>
            </w:r>
          </w:p>
          <w:p w14:paraId="325F19E9">
            <w:pPr>
              <w:spacing w:line="400" w:lineRule="exact"/>
              <w:ind w:firstLine="480"/>
              <w:jc w:val="left"/>
              <w:rPr>
                <w:sz w:val="24"/>
              </w:rPr>
            </w:pPr>
            <w:r>
              <w:rPr>
                <w:rFonts w:hint="eastAsia"/>
                <w:sz w:val="24"/>
              </w:rPr>
              <w:t>（2）</w:t>
            </w:r>
            <w:r>
              <w:rPr>
                <w:sz w:val="24"/>
              </w:rPr>
              <w:t>实施结斯河流域水生态保护修复、小金县四姑娘山镇水生态综合治理</w:t>
            </w:r>
            <w:r>
              <w:rPr>
                <w:rFonts w:hint="eastAsia"/>
                <w:sz w:val="24"/>
              </w:rPr>
              <w:t>。</w:t>
            </w:r>
          </w:p>
        </w:tc>
      </w:tr>
      <w:tr w14:paraId="786C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6D48EA84">
            <w:pPr>
              <w:spacing w:line="400" w:lineRule="exact"/>
              <w:ind w:firstLine="482"/>
              <w:jc w:val="left"/>
              <w:rPr>
                <w:sz w:val="24"/>
              </w:rPr>
            </w:pPr>
            <w:r>
              <w:rPr>
                <w:rFonts w:hint="eastAsia"/>
                <w:b/>
                <w:bCs/>
                <w:sz w:val="24"/>
              </w:rPr>
              <w:t>（二）自然保护地</w:t>
            </w:r>
            <w:r>
              <w:rPr>
                <w:b/>
                <w:bCs/>
                <w:sz w:val="24"/>
              </w:rPr>
              <w:t>保护</w:t>
            </w:r>
            <w:r>
              <w:rPr>
                <w:rFonts w:hint="eastAsia"/>
                <w:b/>
                <w:bCs/>
                <w:sz w:val="24"/>
              </w:rPr>
              <w:t>工程</w:t>
            </w:r>
          </w:p>
          <w:p w14:paraId="3A7F5BD2">
            <w:pPr>
              <w:spacing w:line="400" w:lineRule="exact"/>
              <w:ind w:firstLine="480"/>
              <w:jc w:val="left"/>
              <w:rPr>
                <w:sz w:val="24"/>
              </w:rPr>
            </w:pPr>
            <w:r>
              <w:rPr>
                <w:rFonts w:hint="eastAsia"/>
                <w:sz w:val="24"/>
              </w:rPr>
              <w:t>实施小金县自然保护地野外监控系统项目。</w:t>
            </w:r>
          </w:p>
        </w:tc>
      </w:tr>
      <w:tr w14:paraId="41CE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041F756A">
            <w:pPr>
              <w:spacing w:line="400" w:lineRule="exact"/>
              <w:ind w:firstLine="482"/>
              <w:jc w:val="left"/>
              <w:rPr>
                <w:b/>
                <w:bCs/>
                <w:sz w:val="24"/>
              </w:rPr>
            </w:pPr>
            <w:r>
              <w:rPr>
                <w:b/>
                <w:bCs/>
                <w:sz w:val="24"/>
              </w:rPr>
              <w:t>（</w:t>
            </w:r>
            <w:r>
              <w:rPr>
                <w:rFonts w:hint="eastAsia"/>
                <w:b/>
                <w:bCs/>
                <w:sz w:val="24"/>
              </w:rPr>
              <w:t>三</w:t>
            </w:r>
            <w:r>
              <w:rPr>
                <w:b/>
                <w:bCs/>
                <w:sz w:val="24"/>
              </w:rPr>
              <w:t>）生物多样性保护工程</w:t>
            </w:r>
          </w:p>
          <w:p w14:paraId="6417E2BB">
            <w:pPr>
              <w:spacing w:line="400" w:lineRule="exact"/>
              <w:ind w:firstLine="480"/>
              <w:jc w:val="left"/>
              <w:rPr>
                <w:sz w:val="24"/>
              </w:rPr>
            </w:pPr>
            <w:r>
              <w:rPr>
                <w:rFonts w:hint="eastAsia"/>
                <w:sz w:val="24"/>
              </w:rPr>
              <w:t>实施小金县大熊猫栖息世界遗产地珍稀植物封禁保护项目。</w:t>
            </w:r>
          </w:p>
        </w:tc>
      </w:tr>
    </w:tbl>
    <w:p w14:paraId="4396E5FF">
      <w:pPr>
        <w:pStyle w:val="3"/>
        <w:spacing w:before="156" w:after="156"/>
      </w:pPr>
      <w:bookmarkStart w:id="34" w:name="_Toc26498"/>
      <w:r>
        <w:rPr>
          <w:rFonts w:hint="eastAsia"/>
        </w:rPr>
        <w:t>第三章</w:t>
      </w:r>
      <w:r>
        <w:rPr>
          <w:rFonts w:ascii="方正小标宋简体"/>
        </w:rPr>
        <w:t> </w:t>
      </w:r>
      <w:r>
        <w:rPr>
          <w:rFonts w:hint="eastAsia" w:ascii="方正小标宋简体"/>
        </w:rPr>
        <w:t>推动</w:t>
      </w:r>
      <w:r>
        <w:rPr>
          <w:rFonts w:hint="eastAsia"/>
        </w:rPr>
        <w:t>美丽小金建设迈上新台阶</w:t>
      </w:r>
      <w:bookmarkEnd w:id="22"/>
      <w:bookmarkEnd w:id="23"/>
      <w:bookmarkEnd w:id="34"/>
    </w:p>
    <w:p w14:paraId="0F024E5E">
      <w:pPr>
        <w:pStyle w:val="4"/>
        <w:spacing w:before="156" w:after="156"/>
      </w:pPr>
      <w:bookmarkStart w:id="35" w:name="_Toc29642"/>
      <w:bookmarkStart w:id="36" w:name="_Toc20377"/>
      <w:bookmarkStart w:id="37" w:name="_Toc22587"/>
      <w:r>
        <w:rPr>
          <w:rFonts w:hint="eastAsia"/>
        </w:rPr>
        <w:t>第一节</w:t>
      </w:r>
      <w:r>
        <w:rPr>
          <w:rFonts w:ascii="方正小标宋简体"/>
        </w:rPr>
        <w:t> </w:t>
      </w:r>
      <w:r>
        <w:rPr>
          <w:rFonts w:hint="eastAsia"/>
        </w:rPr>
        <w:t>推进美丽城镇建设</w:t>
      </w:r>
      <w:bookmarkEnd w:id="35"/>
      <w:bookmarkEnd w:id="36"/>
      <w:bookmarkEnd w:id="37"/>
    </w:p>
    <w:p w14:paraId="668520BF">
      <w:pPr>
        <w:spacing w:line="560" w:lineRule="exact"/>
        <w:ind w:firstLine="643"/>
      </w:pPr>
      <w:r>
        <w:rPr>
          <w:rFonts w:hint="eastAsia"/>
          <w:b/>
          <w:bCs/>
          <w:szCs w:val="32"/>
        </w:rPr>
        <w:t>构建美丽城镇新面貌</w:t>
      </w:r>
      <w:r>
        <w:rPr>
          <w:rFonts w:hint="eastAsia"/>
          <w:szCs w:val="32"/>
        </w:rPr>
        <w:t>。优化城市山水格局，以建设包容大气、魅力独具的现代新城为目标，</w:t>
      </w:r>
      <w:r>
        <w:rPr>
          <w:rFonts w:hint="eastAsia"/>
        </w:rPr>
        <w:t>深入推进城市有机更新，</w:t>
      </w:r>
      <w:r>
        <w:rPr>
          <w:rFonts w:hint="eastAsia"/>
          <w:szCs w:val="32"/>
        </w:rPr>
        <w:t>梳理城市绿地和广场，优化新城区风貌建设，统筹城市绿道、景观廊道及基础设施一体布局。加强红军会师旧址、天主教堂等重要历史建筑保护修缮，因地制宜打造营盘、石灰窑、老城区等一批活力街区。按照生态旅游城市的目标定位，因地制宜推动旧城改造，加快推进石灰新区、马桑新区、焦子坪新区等新城区开发。</w:t>
      </w:r>
      <w:r>
        <w:rPr>
          <w:rFonts w:hint="eastAsia"/>
        </w:rPr>
        <w:t>统筹优化公共服务、便民商业、市政设施等布局，加快推进规模适度、经济适用、服务高效的社区嵌入式服务设施建设。推行低影响城镇开发模式，推动建设就地取材、建材循环利用。大力推广绿色建筑，提升建筑终端用能天然气化和电气化水平，</w:t>
      </w:r>
      <w:r>
        <w:rPr>
          <w:color w:val="000000"/>
          <w:szCs w:val="32"/>
        </w:rPr>
        <w:t>实施既有公共建筑节能改造工程</w:t>
      </w:r>
      <w:r>
        <w:rPr>
          <w:rFonts w:hint="eastAsia"/>
          <w:color w:val="000000"/>
          <w:szCs w:val="32"/>
        </w:rPr>
        <w:t>。</w:t>
      </w:r>
      <w:r>
        <w:rPr>
          <w:rFonts w:hint="eastAsia"/>
        </w:rPr>
        <w:t>加快推进城乡资源双向融合，实施公共服务设施提标扩面，提级扩能环境卫生设施，提档升级市政公用设施。到2030年，打造“美丽城市”典型案例。</w:t>
      </w:r>
    </w:p>
    <w:p w14:paraId="1C462CDC">
      <w:pPr>
        <w:pStyle w:val="4"/>
        <w:spacing w:before="156" w:after="156"/>
      </w:pPr>
      <w:bookmarkStart w:id="38" w:name="_Toc14978"/>
      <w:bookmarkStart w:id="39" w:name="_Toc22616"/>
      <w:bookmarkStart w:id="40" w:name="_Toc17743"/>
      <w:r>
        <w:rPr>
          <w:rFonts w:hint="eastAsia"/>
        </w:rPr>
        <w:t>第二节</w:t>
      </w:r>
      <w:r>
        <w:rPr>
          <w:rFonts w:ascii="方正小标宋简体"/>
        </w:rPr>
        <w:t> </w:t>
      </w:r>
      <w:r>
        <w:rPr>
          <w:rFonts w:hint="eastAsia"/>
        </w:rPr>
        <w:t>推进美丽乡村建设</w:t>
      </w:r>
      <w:bookmarkEnd w:id="38"/>
      <w:bookmarkEnd w:id="39"/>
      <w:bookmarkEnd w:id="40"/>
    </w:p>
    <w:p w14:paraId="4B33B5DC">
      <w:pPr>
        <w:spacing w:line="560" w:lineRule="exact"/>
        <w:ind w:firstLine="643"/>
        <w:rPr>
          <w:color w:val="000000"/>
          <w:szCs w:val="32"/>
        </w:rPr>
      </w:pPr>
      <w:r>
        <w:rPr>
          <w:rFonts w:hint="eastAsia"/>
          <w:b/>
          <w:bCs/>
          <w:color w:val="000000"/>
          <w:szCs w:val="32"/>
        </w:rPr>
        <w:t>建设小金“四美”乡村</w:t>
      </w:r>
      <w:r>
        <w:rPr>
          <w:rFonts w:hint="eastAsia"/>
          <w:color w:val="000000"/>
          <w:szCs w:val="32"/>
        </w:rPr>
        <w:t>。学习运用“千万工程”经验，</w:t>
      </w:r>
      <w:r>
        <w:rPr>
          <w:color w:val="000000"/>
          <w:szCs w:val="32"/>
        </w:rPr>
        <w:t>加强生态镇和美丽乡村建设</w:t>
      </w:r>
      <w:r>
        <w:rPr>
          <w:rFonts w:hint="eastAsia"/>
          <w:color w:val="000000"/>
          <w:szCs w:val="32"/>
        </w:rPr>
        <w:t>，</w:t>
      </w:r>
      <w:r>
        <w:rPr>
          <w:color w:val="000000"/>
          <w:szCs w:val="32"/>
        </w:rPr>
        <w:t>统筹推进城镇中心区村庄、城镇外围区</w:t>
      </w:r>
      <w:r>
        <w:rPr>
          <w:szCs w:val="32"/>
        </w:rPr>
        <w:t>村庄</w:t>
      </w:r>
      <w:r>
        <w:rPr>
          <w:color w:val="000000"/>
          <w:szCs w:val="32"/>
        </w:rPr>
        <w:t>、历史传统文化村庄、新型社区等各类</w:t>
      </w:r>
      <w:r>
        <w:rPr>
          <w:rFonts w:hint="eastAsia"/>
          <w:color w:val="000000"/>
          <w:szCs w:val="32"/>
        </w:rPr>
        <w:t>乡村</w:t>
      </w:r>
      <w:r>
        <w:rPr>
          <w:color w:val="000000"/>
          <w:szCs w:val="32"/>
        </w:rPr>
        <w:t>建设</w:t>
      </w:r>
      <w:r>
        <w:rPr>
          <w:rFonts w:hint="eastAsia"/>
          <w:color w:val="000000"/>
          <w:szCs w:val="32"/>
        </w:rPr>
        <w:t>，创建一批示范村、精品村。</w:t>
      </w:r>
      <w:r>
        <w:rPr>
          <w:color w:val="000000"/>
          <w:szCs w:val="32"/>
        </w:rPr>
        <w:t>加大传统村落保护力度，</w:t>
      </w:r>
      <w:r>
        <w:rPr>
          <w:rFonts w:hint="eastAsia"/>
          <w:color w:val="000000"/>
          <w:szCs w:val="32"/>
        </w:rPr>
        <w:t>加快推进传统村落保护发展规划编制，</w:t>
      </w:r>
      <w:r>
        <w:rPr>
          <w:color w:val="000000"/>
          <w:szCs w:val="32"/>
        </w:rPr>
        <w:t>传承和弘扬乡土文化，注重培育造血功能，在保留传统风貌的基础上改善村（居）民生活条件。</w:t>
      </w:r>
      <w:r>
        <w:rPr>
          <w:rFonts w:hint="eastAsia"/>
          <w:color w:val="000000"/>
          <w:szCs w:val="32"/>
        </w:rPr>
        <w:t>加快完善水、电、路网及通讯、排水、污水垃圾处理、旅游配套等基础设施，完善乡村基础设施长效管护机制。扎实推进“三家园”示范工程，加强村庄环境质量提升，农村生态环境监测评价制度、农村生活污水、垃圾治理等长效管护机制基本建立并有效实施。持续开展全域环境整治“八大行动”，强化美丽村寨、美丽庭院、美丽乡村道路、美丽河道“四美”创建，综合提升山水林田湖路村风貌，建设望得见山、看得见水、记得住乡愁、留得住游客的美丽乡村。到2030年，打造“美丽乡村”典型案例。</w:t>
      </w:r>
    </w:p>
    <w:p w14:paraId="19D48CC5">
      <w:pPr>
        <w:pStyle w:val="4"/>
        <w:spacing w:before="156" w:after="156"/>
      </w:pPr>
      <w:bookmarkStart w:id="41" w:name="_Toc15756"/>
      <w:bookmarkStart w:id="42" w:name="_Toc20433"/>
      <w:bookmarkStart w:id="43" w:name="_Toc29770"/>
      <w:r>
        <w:rPr>
          <w:rFonts w:hint="eastAsia"/>
        </w:rPr>
        <w:t>第三节</w:t>
      </w:r>
      <w:r>
        <w:rPr>
          <w:rFonts w:ascii="方正小标宋简体"/>
        </w:rPr>
        <w:t> </w:t>
      </w:r>
      <w:r>
        <w:rPr>
          <w:rFonts w:hint="eastAsia" w:ascii="方正小标宋简体"/>
        </w:rPr>
        <w:t>推进</w:t>
      </w:r>
      <w:r>
        <w:rPr>
          <w:rFonts w:hint="eastAsia"/>
        </w:rPr>
        <w:t>美丽河湖建设</w:t>
      </w:r>
      <w:bookmarkEnd w:id="41"/>
      <w:bookmarkEnd w:id="42"/>
      <w:bookmarkEnd w:id="43"/>
    </w:p>
    <w:p w14:paraId="0A291EDD">
      <w:pPr>
        <w:spacing w:line="560" w:lineRule="exact"/>
        <w:ind w:firstLine="643"/>
      </w:pPr>
      <w:r>
        <w:rPr>
          <w:rFonts w:hint="eastAsia"/>
          <w:b/>
          <w:bCs/>
        </w:rPr>
        <w:t>加强美丽河湖保护与建设</w:t>
      </w:r>
      <w:r>
        <w:rPr>
          <w:rFonts w:hint="eastAsia"/>
        </w:rPr>
        <w:t>。推进水环境、水资源、水生态“三水共治”。全面落实河（湖）长制和“一河（湖）一策”，推动流域面积 50平方千米以上河流管理范围划界入库，深入推进河湖</w:t>
      </w:r>
      <w:r>
        <w:rPr>
          <w:rFonts w:hint="eastAsia"/>
          <w:color w:val="000000"/>
          <w:szCs w:val="32"/>
        </w:rPr>
        <w:t>“清四乱”</w:t>
      </w:r>
      <w:r>
        <w:rPr>
          <w:rFonts w:hint="eastAsia"/>
        </w:rPr>
        <w:t>常态化规范化。加强河湖文化载体建设，在维护河湖生态安全的前提下，合理建设亲水便民设施，开展河湖文化挖掘和文化设施建设，制作水文化宣传视频，举办传统水文化主题活动，保护传承展示水文化。到2030年，打造“美丽河湖”典型案例。</w:t>
      </w:r>
    </w:p>
    <w:p w14:paraId="6691A7B9">
      <w:pPr>
        <w:pStyle w:val="4"/>
        <w:spacing w:before="156" w:after="156"/>
      </w:pPr>
      <w:bookmarkStart w:id="44" w:name="_Toc20588"/>
      <w:bookmarkStart w:id="45" w:name="_Toc32474"/>
      <w:bookmarkStart w:id="46" w:name="_Toc24286"/>
      <w:r>
        <w:rPr>
          <w:rFonts w:hint="eastAsia"/>
        </w:rPr>
        <w:t>第四节</w:t>
      </w:r>
      <w:r>
        <w:rPr>
          <w:rFonts w:ascii="方正小标宋简体"/>
        </w:rPr>
        <w:t> </w:t>
      </w:r>
      <w:r>
        <w:rPr>
          <w:rFonts w:hint="eastAsia"/>
        </w:rPr>
        <w:t>统筹小金“美丽系列”建设</w:t>
      </w:r>
      <w:bookmarkEnd w:id="44"/>
      <w:bookmarkEnd w:id="45"/>
      <w:bookmarkEnd w:id="46"/>
    </w:p>
    <w:p w14:paraId="7CDC612F">
      <w:pPr>
        <w:spacing w:line="600" w:lineRule="exact"/>
        <w:ind w:firstLine="643"/>
        <w:rPr>
          <w:color w:val="000000"/>
          <w:szCs w:val="32"/>
        </w:rPr>
      </w:pPr>
      <w:r>
        <w:rPr>
          <w:rFonts w:hint="eastAsia"/>
          <w:b/>
          <w:bCs/>
          <w:color w:val="000000"/>
          <w:szCs w:val="32"/>
        </w:rPr>
        <w:t>多元开展美丽</w:t>
      </w:r>
      <w:r>
        <w:rPr>
          <w:b/>
          <w:bCs/>
          <w:color w:val="000000"/>
          <w:szCs w:val="32"/>
        </w:rPr>
        <w:t>建设</w:t>
      </w:r>
      <w:r>
        <w:rPr>
          <w:rFonts w:hint="eastAsia"/>
          <w:b/>
          <w:bCs/>
          <w:color w:val="000000"/>
          <w:szCs w:val="32"/>
        </w:rPr>
        <w:t>。</w:t>
      </w:r>
      <w:r>
        <w:rPr>
          <w:rFonts w:hint="eastAsia"/>
          <w:color w:val="000000"/>
          <w:szCs w:val="32"/>
        </w:rPr>
        <w:t>以四姑娘山入选“首批精选美丽中国打卡点”为契机，</w:t>
      </w:r>
      <w:r>
        <w:rPr>
          <w:color w:val="000000"/>
          <w:szCs w:val="32"/>
        </w:rPr>
        <w:t>以山川、</w:t>
      </w:r>
      <w:r>
        <w:rPr>
          <w:rFonts w:hint="eastAsia"/>
          <w:color w:val="000000"/>
          <w:szCs w:val="32"/>
        </w:rPr>
        <w:t>公路</w:t>
      </w:r>
      <w:r>
        <w:rPr>
          <w:color w:val="000000"/>
          <w:szCs w:val="32"/>
        </w:rPr>
        <w:t>为载体，立足不同的经济发展水平、自然资源禀赋、生态环境本底和人文底蕴基础，分批次打造美丽山川、</w:t>
      </w:r>
      <w:r>
        <w:rPr>
          <w:rFonts w:hint="eastAsia"/>
          <w:color w:val="000000"/>
          <w:szCs w:val="32"/>
        </w:rPr>
        <w:t>美丽公路、美丽心灵。推进“美丽山河”建设，打造以自然生态底色“佳”、生物多样资源“佳”、水域环境质量“佳”、生态治理修复“佳”为要点的“四佳”美丽山河。推进“美丽公路”建设，着力开展“四靓”美丽公路创建，以公路舒适“靓”、公路整洁“靓”、公路景观“靓”、公路生态“靓”为抓手，净化、亮化、美化公路沿线路域环境，构建公路绿色廊带。开展美丽心灵建设，提炼小金特色的生态文化形态，制订小金县生态文化发展计划，发展现代生态文化，开展新时代绿色家风的宣传教育、展示推广和征集评比活动。到2030年，打造“美丽山川”“美丽公路”典型案例</w:t>
      </w:r>
      <w:r>
        <w:rPr>
          <w:color w:val="000000"/>
          <w:szCs w:val="32"/>
        </w:rPr>
        <w:t>。</w:t>
      </w:r>
    </w:p>
    <w:p w14:paraId="2D894761">
      <w:pPr>
        <w:autoSpaceDE w:val="0"/>
        <w:autoSpaceDN w:val="0"/>
        <w:snapToGrid w:val="0"/>
        <w:spacing w:line="600" w:lineRule="exact"/>
        <w:ind w:firstLine="0" w:firstLineChars="0"/>
        <w:jc w:val="center"/>
        <w:outlineLvl w:val="1"/>
        <w:rPr>
          <w:b/>
          <w:bCs/>
        </w:rPr>
      </w:pPr>
      <w:bookmarkStart w:id="47" w:name="_Toc294"/>
      <w:bookmarkStart w:id="48" w:name="_Toc10717"/>
      <w:bookmarkStart w:id="49" w:name="_Toc17274"/>
      <w:bookmarkStart w:id="50" w:name="_Toc6214"/>
      <w:bookmarkStart w:id="51" w:name="_Toc22068"/>
      <w:r>
        <w:rPr>
          <w:b/>
          <w:bCs/>
        </w:rPr>
        <w:t>专栏</w:t>
      </w:r>
      <w:r>
        <w:rPr>
          <w:rFonts w:hint="eastAsia"/>
          <w:b/>
          <w:bCs/>
          <w:lang w:val="en-US" w:eastAsia="zh-CN"/>
        </w:rPr>
        <w:t>二</w:t>
      </w:r>
      <w:r>
        <w:rPr>
          <w:b/>
          <w:bCs/>
        </w:rPr>
        <w:t xml:space="preserve">  </w:t>
      </w:r>
      <w:r>
        <w:rPr>
          <w:rFonts w:hint="eastAsia"/>
          <w:b/>
          <w:bCs/>
        </w:rPr>
        <w:t>美丽小金建设</w:t>
      </w:r>
      <w:r>
        <w:rPr>
          <w:b/>
          <w:bCs/>
        </w:rPr>
        <w:t>重点项目</w:t>
      </w:r>
      <w:bookmarkEnd w:id="47"/>
      <w:bookmarkEnd w:id="48"/>
      <w:bookmarkEnd w:id="49"/>
      <w:bookmarkEnd w:id="50"/>
      <w:bookmarkEnd w:id="51"/>
    </w:p>
    <w:tbl>
      <w:tblPr>
        <w:tblStyle w:val="26"/>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1"/>
      </w:tblGrid>
      <w:tr w14:paraId="278A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9051" w:type="dxa"/>
            <w:vAlign w:val="center"/>
          </w:tcPr>
          <w:p w14:paraId="15A9A0CE">
            <w:pPr>
              <w:spacing w:line="400" w:lineRule="exact"/>
              <w:ind w:firstLine="480"/>
              <w:jc w:val="left"/>
              <w:rPr>
                <w:b/>
                <w:bCs/>
                <w:sz w:val="24"/>
              </w:rPr>
            </w:pPr>
            <w:r>
              <w:rPr>
                <w:b/>
                <w:bCs/>
                <w:sz w:val="24"/>
              </w:rPr>
              <w:t>（</w:t>
            </w:r>
            <w:r>
              <w:rPr>
                <w:rFonts w:hint="eastAsia"/>
                <w:b/>
                <w:bCs/>
                <w:sz w:val="24"/>
              </w:rPr>
              <w:t>一</w:t>
            </w:r>
            <w:r>
              <w:rPr>
                <w:b/>
                <w:bCs/>
                <w:sz w:val="24"/>
              </w:rPr>
              <w:t>）</w:t>
            </w:r>
            <w:r>
              <w:rPr>
                <w:rFonts w:hint="eastAsia"/>
                <w:b/>
                <w:bCs/>
                <w:sz w:val="24"/>
              </w:rPr>
              <w:t>美丽城镇建设</w:t>
            </w:r>
            <w:r>
              <w:rPr>
                <w:b/>
                <w:bCs/>
                <w:sz w:val="24"/>
              </w:rPr>
              <w:t>工程</w:t>
            </w:r>
          </w:p>
          <w:p w14:paraId="45CBBB94">
            <w:pPr>
              <w:spacing w:line="400" w:lineRule="exact"/>
              <w:ind w:firstLine="480"/>
              <w:jc w:val="left"/>
              <w:rPr>
                <w:rFonts w:hint="eastAsia"/>
                <w:sz w:val="24"/>
              </w:rPr>
            </w:pPr>
            <w:r>
              <w:rPr>
                <w:rFonts w:hint="eastAsia"/>
                <w:sz w:val="24"/>
              </w:rPr>
              <w:t>（1）改扩建小金县凉台湾片区老旧街区改造项目、小金县政府街老旧街区改造项目、小金县营盘回头线老旧街区改造项目。新建小金县主城区城市更新改造及配套管网建设项目</w:t>
            </w:r>
            <w:r>
              <w:rPr>
                <w:rFonts w:hint="eastAsia"/>
                <w:sz w:val="24"/>
                <w:lang w:eastAsia="zh-CN"/>
              </w:rPr>
              <w:t>、小金川片区城市生态修复建设项目</w:t>
            </w:r>
            <w:r>
              <w:rPr>
                <w:rFonts w:hint="eastAsia"/>
                <w:sz w:val="24"/>
              </w:rPr>
              <w:t>。</w:t>
            </w:r>
          </w:p>
          <w:p w14:paraId="6971FDFB">
            <w:pPr>
              <w:spacing w:line="400" w:lineRule="exact"/>
              <w:ind w:firstLine="480"/>
              <w:jc w:val="left"/>
              <w:rPr>
                <w:rFonts w:hint="eastAsia"/>
                <w:sz w:val="24"/>
              </w:rPr>
            </w:pPr>
            <w:r>
              <w:rPr>
                <w:rFonts w:hint="eastAsia"/>
                <w:sz w:val="24"/>
              </w:rPr>
              <w:t>（2）新建小金县营盘、新街片区口袋公园建设项目。</w:t>
            </w:r>
          </w:p>
          <w:p w14:paraId="1D559D1F">
            <w:pPr>
              <w:spacing w:line="400" w:lineRule="exact"/>
              <w:ind w:firstLine="480"/>
              <w:jc w:val="left"/>
              <w:rPr>
                <w:sz w:val="24"/>
              </w:rPr>
            </w:pPr>
            <w:r>
              <w:rPr>
                <w:rFonts w:hint="eastAsia"/>
                <w:b/>
                <w:bCs/>
                <w:sz w:val="24"/>
              </w:rPr>
              <w:t>（二）“四美”乡村建设工程</w:t>
            </w:r>
          </w:p>
          <w:p w14:paraId="6CE0E406">
            <w:pPr>
              <w:spacing w:line="400" w:lineRule="exact"/>
              <w:ind w:firstLine="480"/>
              <w:jc w:val="left"/>
              <w:rPr>
                <w:sz w:val="24"/>
              </w:rPr>
            </w:pPr>
            <w:r>
              <w:rPr>
                <w:rFonts w:hint="eastAsia"/>
                <w:sz w:val="24"/>
              </w:rPr>
              <w:t>新建小金县宜居宜业和美乡村示范片建设项目。</w:t>
            </w:r>
          </w:p>
        </w:tc>
      </w:tr>
      <w:tr w14:paraId="766D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6C59A94E">
            <w:pPr>
              <w:spacing w:line="400" w:lineRule="exact"/>
              <w:ind w:firstLine="482"/>
              <w:rPr>
                <w:b/>
                <w:bCs/>
                <w:sz w:val="24"/>
              </w:rPr>
            </w:pPr>
            <w:r>
              <w:rPr>
                <w:rFonts w:hint="eastAsia"/>
                <w:b/>
                <w:bCs/>
                <w:sz w:val="24"/>
              </w:rPr>
              <w:t>（三）美丽河湖建设工程</w:t>
            </w:r>
          </w:p>
          <w:p w14:paraId="46C1086D">
            <w:pPr>
              <w:spacing w:line="400" w:lineRule="exact"/>
              <w:ind w:firstLine="480"/>
              <w:jc w:val="left"/>
              <w:rPr>
                <w:sz w:val="24"/>
              </w:rPr>
            </w:pPr>
            <w:r>
              <w:rPr>
                <w:rFonts w:hint="eastAsia"/>
                <w:sz w:val="24"/>
              </w:rPr>
              <w:t>实施小金川河全流域美丽河湖建设项目。</w:t>
            </w:r>
          </w:p>
        </w:tc>
      </w:tr>
      <w:tr w14:paraId="71F3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5228F55C">
            <w:pPr>
              <w:spacing w:line="400" w:lineRule="exact"/>
              <w:ind w:firstLine="482"/>
              <w:rPr>
                <w:b/>
                <w:bCs/>
                <w:sz w:val="24"/>
              </w:rPr>
            </w:pPr>
            <w:r>
              <w:rPr>
                <w:b/>
                <w:bCs/>
                <w:sz w:val="24"/>
              </w:rPr>
              <w:t>（</w:t>
            </w:r>
            <w:r>
              <w:rPr>
                <w:rFonts w:hint="eastAsia"/>
                <w:b/>
                <w:bCs/>
                <w:sz w:val="24"/>
              </w:rPr>
              <w:t>四</w:t>
            </w:r>
            <w:r>
              <w:rPr>
                <w:b/>
                <w:bCs/>
                <w:sz w:val="24"/>
              </w:rPr>
              <w:t>）</w:t>
            </w:r>
            <w:r>
              <w:rPr>
                <w:rFonts w:hint="eastAsia"/>
                <w:b/>
                <w:bCs/>
                <w:sz w:val="24"/>
              </w:rPr>
              <w:t>美丽公路建设</w:t>
            </w:r>
            <w:r>
              <w:rPr>
                <w:b/>
                <w:bCs/>
                <w:sz w:val="24"/>
              </w:rPr>
              <w:t>工程</w:t>
            </w:r>
          </w:p>
          <w:p w14:paraId="0859A3F7">
            <w:pPr>
              <w:spacing w:line="400" w:lineRule="exact"/>
              <w:ind w:firstLine="480"/>
              <w:rPr>
                <w:sz w:val="24"/>
              </w:rPr>
            </w:pPr>
            <w:r>
              <w:rPr>
                <w:rFonts w:hint="eastAsia"/>
                <w:sz w:val="24"/>
              </w:rPr>
              <w:t>新建都四轨道四姑娘山站TOD综合体及附属设施项目。</w:t>
            </w:r>
          </w:p>
        </w:tc>
      </w:tr>
      <w:bookmarkEnd w:id="24"/>
      <w:bookmarkEnd w:id="25"/>
    </w:tbl>
    <w:p w14:paraId="365F54EB">
      <w:pPr>
        <w:widowControl/>
        <w:ind w:firstLine="0" w:firstLineChars="0"/>
        <w:jc w:val="left"/>
        <w:rPr>
          <w:rFonts w:eastAsia="方正小标宋简体"/>
          <w:bCs/>
          <w:kern w:val="44"/>
          <w:sz w:val="36"/>
          <w:szCs w:val="44"/>
        </w:rPr>
      </w:pPr>
      <w:r>
        <w:br w:type="page"/>
      </w:r>
    </w:p>
    <w:p w14:paraId="0249882D">
      <w:pPr>
        <w:pStyle w:val="3"/>
        <w:spacing w:before="156" w:after="156"/>
      </w:pPr>
      <w:bookmarkStart w:id="52" w:name="_Toc30526"/>
      <w:bookmarkStart w:id="53" w:name="_Toc18400"/>
      <w:bookmarkStart w:id="54" w:name="_Toc14335"/>
      <w:r>
        <w:rPr>
          <w:rFonts w:hint="eastAsia"/>
        </w:rPr>
        <w:t>第四章</w:t>
      </w:r>
      <w:r>
        <w:rPr>
          <w:rFonts w:ascii="方正小标宋简体"/>
        </w:rPr>
        <w:t> </w:t>
      </w:r>
      <w:r>
        <w:rPr>
          <w:rFonts w:hint="eastAsia"/>
        </w:rPr>
        <w:t>促进经济社会绿色低碳转型</w:t>
      </w:r>
      <w:bookmarkEnd w:id="52"/>
      <w:bookmarkEnd w:id="53"/>
      <w:bookmarkEnd w:id="54"/>
    </w:p>
    <w:p w14:paraId="59F9E0CA">
      <w:pPr>
        <w:pStyle w:val="4"/>
        <w:spacing w:before="156" w:after="156"/>
      </w:pPr>
      <w:bookmarkStart w:id="55" w:name="_Toc13618"/>
      <w:bookmarkStart w:id="56" w:name="_Toc16434"/>
      <w:bookmarkStart w:id="57" w:name="_Toc23398"/>
      <w:bookmarkStart w:id="58" w:name="_Toc21285"/>
      <w:r>
        <w:rPr>
          <w:rFonts w:hint="eastAsia"/>
        </w:rPr>
        <w:t>第一节</w:t>
      </w:r>
      <w:r>
        <w:rPr>
          <w:rFonts w:ascii="方正小标宋简体"/>
        </w:rPr>
        <w:t> </w:t>
      </w:r>
      <w:r>
        <w:rPr>
          <w:rFonts w:hint="eastAsia"/>
        </w:rPr>
        <w:t>推进碳达峰目标完成</w:t>
      </w:r>
      <w:bookmarkEnd w:id="55"/>
      <w:bookmarkEnd w:id="56"/>
      <w:bookmarkEnd w:id="57"/>
      <w:bookmarkEnd w:id="58"/>
    </w:p>
    <w:p w14:paraId="6231994C">
      <w:pPr>
        <w:spacing w:line="600" w:lineRule="exact"/>
        <w:ind w:firstLine="643"/>
      </w:pPr>
      <w:r>
        <w:rPr>
          <w:rFonts w:hint="eastAsia"/>
          <w:b/>
          <w:bCs/>
        </w:rPr>
        <w:t>健全碳排放控制管理体系。</w:t>
      </w:r>
      <w:r>
        <w:rPr>
          <w:rFonts w:hint="eastAsia"/>
        </w:rPr>
        <w:t>以全面落实各个重点领域、重点行业碳达峰行动方案为重点，深入实施碳达峰小金行动。</w:t>
      </w:r>
      <w:bookmarkStart w:id="59" w:name="_Hlk181803812"/>
      <w:r>
        <w:rPr>
          <w:rFonts w:hint="eastAsia"/>
          <w:lang w:val="en-US" w:eastAsia="zh-CN"/>
        </w:rPr>
        <w:t>实施</w:t>
      </w:r>
      <w:r>
        <w:rPr>
          <w:rFonts w:hint="eastAsia"/>
        </w:rPr>
        <w:t>碳排放总量和强度“双控”</w:t>
      </w:r>
      <w:bookmarkEnd w:id="59"/>
      <w:r>
        <w:rPr>
          <w:rFonts w:hint="eastAsia"/>
        </w:rPr>
        <w:t>，对重点用能单位开展节能监管，推进企业能效对标达标，严格执行高耗能产品能耗限额标准。</w:t>
      </w:r>
    </w:p>
    <w:p w14:paraId="23D2E961">
      <w:pPr>
        <w:spacing w:line="600" w:lineRule="exact"/>
        <w:ind w:firstLine="643"/>
      </w:pPr>
      <w:r>
        <w:rPr>
          <w:rFonts w:hint="eastAsia"/>
          <w:b/>
          <w:bCs/>
        </w:rPr>
        <w:t>深化重点领域低碳转型</w:t>
      </w:r>
      <w:r>
        <w:rPr>
          <w:rFonts w:hint="eastAsia"/>
        </w:rPr>
        <w:t>。扩大重点产业绿电直供规模，优化绿电本地消纳与跨省外送，提升绿电利用效率加速碳中和。支持企业实施能效提升工程。推进城乡建筑节能降碳改造，推广绿色建筑及装配式建筑。推动交通运输低碳转型，推广新能源交通工具，完善绿色交通配套。鼓励牧业从草场型自然放牧向基地化养殖转变，降低草原碳排放，探索实施森林碳汇项目。到2030年，二氧化碳排放强度降低目标和排放总量完成上级下达指标。</w:t>
      </w:r>
    </w:p>
    <w:p w14:paraId="6D4FEFDF">
      <w:pPr>
        <w:pStyle w:val="4"/>
        <w:spacing w:before="156" w:after="156"/>
      </w:pPr>
      <w:bookmarkStart w:id="60" w:name="_Toc12831"/>
      <w:bookmarkStart w:id="61" w:name="_Toc5393"/>
      <w:bookmarkStart w:id="62" w:name="_Toc28747"/>
      <w:r>
        <w:rPr>
          <w:rFonts w:hint="eastAsia"/>
        </w:rPr>
        <w:t>第二节</w:t>
      </w:r>
      <w:r>
        <w:rPr>
          <w:rFonts w:ascii="方正小标宋简体"/>
        </w:rPr>
        <w:t> </w:t>
      </w:r>
      <w:r>
        <w:rPr>
          <w:rFonts w:hint="eastAsia"/>
        </w:rPr>
        <w:t>优化调整空间结构</w:t>
      </w:r>
      <w:bookmarkEnd w:id="60"/>
      <w:bookmarkEnd w:id="61"/>
      <w:bookmarkEnd w:id="62"/>
    </w:p>
    <w:p w14:paraId="2EB242B6">
      <w:pPr>
        <w:spacing w:line="600" w:lineRule="exact"/>
        <w:ind w:firstLine="643"/>
      </w:pPr>
      <w:r>
        <w:rPr>
          <w:rFonts w:hint="eastAsia"/>
          <w:b/>
          <w:bCs/>
        </w:rPr>
        <w:t>强化国土空间规划和用途管控</w:t>
      </w:r>
      <w:r>
        <w:rPr>
          <w:rFonts w:hint="eastAsia"/>
        </w:rPr>
        <w:t>。建立国土空间基础信息平台，形成国土空间规划“一张图”。保障农业空间、维护生态空间、优化城镇空间，严守粮食、生态、能源等环境保护底线，全面提高生态安全水平和生态系统服务价值。落实阿坝州关于生态环境分区管控的要求，重点关注国土空间规划与生态环境分区管控的衔接，落实国土空间规划在土地用途管制、开发利用强度等方面的要求，推动形成优势互补的区域经济布局，以及节约资源和保护环境的空间格局。</w:t>
      </w:r>
    </w:p>
    <w:p w14:paraId="07B60DF9">
      <w:pPr>
        <w:pStyle w:val="4"/>
        <w:spacing w:before="156" w:after="156"/>
      </w:pPr>
      <w:bookmarkStart w:id="63" w:name="_Toc26624"/>
      <w:bookmarkStart w:id="64" w:name="_Toc18781"/>
      <w:bookmarkStart w:id="65" w:name="_Toc30959"/>
      <w:r>
        <w:rPr>
          <w:rFonts w:hint="eastAsia"/>
        </w:rPr>
        <w:t>第三节</w:t>
      </w:r>
      <w:r>
        <w:rPr>
          <w:rFonts w:ascii="方正小标宋简体"/>
        </w:rPr>
        <w:t> </w:t>
      </w:r>
      <w:r>
        <w:rPr>
          <w:rFonts w:hint="eastAsia"/>
        </w:rPr>
        <w:t>优化调整产业结构</w:t>
      </w:r>
      <w:bookmarkEnd w:id="63"/>
      <w:bookmarkEnd w:id="64"/>
      <w:bookmarkEnd w:id="65"/>
    </w:p>
    <w:p w14:paraId="6E42B25E">
      <w:pPr>
        <w:spacing w:line="600" w:lineRule="exact"/>
        <w:ind w:firstLine="643"/>
      </w:pPr>
      <w:r>
        <w:rPr>
          <w:rFonts w:hint="eastAsia"/>
          <w:b/>
          <w:bCs/>
        </w:rPr>
        <w:t>发展绿色低碳农业</w:t>
      </w:r>
      <w:r>
        <w:rPr>
          <w:rFonts w:hint="eastAsia"/>
        </w:rPr>
        <w:t>。落实《关于加快农业发展全面绿色转型促进乡村生态振兴的指导意见》</w:t>
      </w:r>
      <w:r>
        <w:rPr>
          <w:rStyle w:val="31"/>
          <w:rFonts w:hint="eastAsia"/>
        </w:rPr>
        <w:footnoteReference w:id="0"/>
      </w:r>
      <w:r>
        <w:rPr>
          <w:rFonts w:hint="eastAsia"/>
        </w:rPr>
        <w:t>，大力发展以“小金苹果、高山玫瑰、酿酒葡萄、生态蔬菜、高原牦牛”五大主导产业为支撑的生态效益农业。在农牧业生产中，探索应用保护性耕作、秸秆还田固碳、好氧堆肥等低碳耕作方式，推动农村取暖炊事、农业生产加工等生产用能可再生能源替代。</w:t>
      </w:r>
    </w:p>
    <w:p w14:paraId="0FC1A0BC">
      <w:pPr>
        <w:spacing w:line="600" w:lineRule="exact"/>
        <w:ind w:firstLine="643"/>
      </w:pPr>
      <w:r>
        <w:rPr>
          <w:rFonts w:hint="eastAsia"/>
          <w:b/>
          <w:bCs/>
          <w:lang w:val="en-US" w:eastAsia="zh-CN"/>
        </w:rPr>
        <w:t>发展</w:t>
      </w:r>
      <w:r>
        <w:rPr>
          <w:rFonts w:hint="eastAsia"/>
          <w:b/>
          <w:bCs/>
        </w:rPr>
        <w:t>绿色低碳工业</w:t>
      </w:r>
      <w:r>
        <w:rPr>
          <w:rFonts w:hint="eastAsia"/>
        </w:rPr>
        <w:t>。促进农产品加工业绿色转型，开发果粉、果醋、果圈、果脯、果干等多种产品，优化提升沙棘饮料、含片、胶囊产品质量，强化生产环节能耗管控与低碳技术应用。大力推动金矿、钨钼矿、木桑硅矿、饰面大理石矿等优质矿产资源绿色开发，实现矿产资源绿色精深开发。严格遵循绿色矿山标准，探索应用远程操控、自动化设备、数字矿山平台等智能开采技术，实现资源高效、低耗、安全开发，最大限度减少生态扰动与环境足迹。促进绿色建材发展，推动砂石产业从“粗放扩张”向“绿色集约”转变，开发“砂石+水泥”高性能混凝土、“砂石+再生材料”环保建材。</w:t>
      </w:r>
    </w:p>
    <w:p w14:paraId="12400505">
      <w:pPr>
        <w:spacing w:line="600" w:lineRule="exact"/>
        <w:ind w:firstLine="643"/>
      </w:pPr>
      <w:r>
        <w:rPr>
          <w:rFonts w:hint="eastAsia"/>
          <w:b/>
          <w:bCs/>
        </w:rPr>
        <w:t>完善旅游业绿色基础设施</w:t>
      </w:r>
      <w:r>
        <w:rPr>
          <w:rFonts w:hint="eastAsia"/>
        </w:rPr>
        <w:t>。结合实际推进碳普惠与旅游开发深度融合发展，以四姑娘山镇为重点，全县推广绿电充电桩等低碳基础设施，全面推广太阳能、风能等可再生能源，景区酒店实施全电厨房改造，积极配合做好都江堰至四姑娘山山地轨道交通建设项目，提升景区“绿色含量”。</w:t>
      </w:r>
    </w:p>
    <w:p w14:paraId="3D0D578D">
      <w:pPr>
        <w:pStyle w:val="4"/>
        <w:spacing w:before="156" w:after="156"/>
      </w:pPr>
      <w:bookmarkStart w:id="66" w:name="_Toc674"/>
      <w:bookmarkStart w:id="67" w:name="_Toc4308"/>
      <w:bookmarkStart w:id="68" w:name="_Toc901"/>
      <w:r>
        <w:rPr>
          <w:rFonts w:hint="eastAsia"/>
        </w:rPr>
        <w:t>第四节</w:t>
      </w:r>
      <w:r>
        <w:rPr>
          <w:rFonts w:ascii="方正小标宋简体"/>
        </w:rPr>
        <w:t> </w:t>
      </w:r>
      <w:r>
        <w:rPr>
          <w:rFonts w:hint="eastAsia"/>
        </w:rPr>
        <w:t>优化调整能源结构</w:t>
      </w:r>
      <w:bookmarkEnd w:id="66"/>
      <w:bookmarkEnd w:id="67"/>
      <w:bookmarkEnd w:id="68"/>
    </w:p>
    <w:p w14:paraId="43E481AE">
      <w:pPr>
        <w:spacing w:line="600" w:lineRule="exact"/>
        <w:ind w:firstLine="643"/>
      </w:pPr>
      <w:r>
        <w:rPr>
          <w:rFonts w:hint="eastAsia"/>
          <w:b/>
          <w:bCs/>
        </w:rPr>
        <w:t>增加清洁能源供给</w:t>
      </w:r>
      <w:r>
        <w:rPr>
          <w:rFonts w:hint="eastAsia"/>
        </w:rPr>
        <w:t>。依托丰富的水电资源，大力推进“清洁能源基地”建设，加快实施分散式光伏项目，降低化石能源消费，加大清洁煤技术推广应用力度，加强电网可靠性和韧性。大力发展光伏产业，加快推进小金县集中式光伏项目（二期）。积极发展风电产业，科学评估风能资源潜力，有序推进示范项目建设，培育构建完整的风电产业链。利用垃圾、农林生物质等资源合理规划建设一批生物质、垃圾发电项目。扎实推进“新能源+储能”试点，完善储能产业链供应链。力争到2030年，清洁能源产业产值达到5亿元以上。</w:t>
      </w:r>
    </w:p>
    <w:p w14:paraId="304FD8AA">
      <w:pPr>
        <w:spacing w:line="600" w:lineRule="exact"/>
        <w:ind w:firstLine="643"/>
      </w:pPr>
      <w:r>
        <w:rPr>
          <w:rFonts w:hint="eastAsia"/>
          <w:b/>
          <w:bCs/>
        </w:rPr>
        <w:t>大力推动能源结构转型</w:t>
      </w:r>
      <w:r>
        <w:rPr>
          <w:rFonts w:hint="eastAsia"/>
        </w:rPr>
        <w:t>。推行园区综合资源能源一体化解决方案，推进工业园区分布式光伏发电、集中供热、污染集中处理等工程项目，实现园区能源梯级利用、水资源循环利用、废物交换利用、土地节约集约利用，提升园区资源能源利用效率。对重点用能单位开展节能监管，推进企业能效对标达标，严格执行高耗能产品能耗限额标准。推广新能源应用，推进全县新能源汽车基础设施网络建设，在公共服务领域率先推广使用新能源汽车，以按需并适度超前的原则推进住宅小区和公共单位停车场配建慢速充电设施，基本实现新能源汽车“桩随车布”“一车一桩”。加大太阳能清洁能源开发力度，普及太阳能热水器，推进农村太阳能路灯安装项目。</w:t>
      </w:r>
    </w:p>
    <w:p w14:paraId="0237AD2E">
      <w:pPr>
        <w:pStyle w:val="4"/>
        <w:spacing w:before="156" w:after="156"/>
      </w:pPr>
      <w:bookmarkStart w:id="69" w:name="_Toc21719"/>
      <w:bookmarkStart w:id="70" w:name="_Toc16537"/>
      <w:bookmarkStart w:id="71" w:name="_Toc32421"/>
      <w:r>
        <w:rPr>
          <w:rFonts w:hint="eastAsia"/>
        </w:rPr>
        <w:t>第五节</w:t>
      </w:r>
      <w:r>
        <w:rPr>
          <w:rFonts w:ascii="方正小标宋简体"/>
        </w:rPr>
        <w:t> </w:t>
      </w:r>
      <w:r>
        <w:rPr>
          <w:rFonts w:hint="eastAsia" w:ascii="方正小标宋简体"/>
        </w:rPr>
        <w:t>探索生态产品价值实现</w:t>
      </w:r>
      <w:bookmarkEnd w:id="69"/>
      <w:bookmarkEnd w:id="70"/>
      <w:bookmarkEnd w:id="71"/>
    </w:p>
    <w:p w14:paraId="2CFB72C3">
      <w:pPr>
        <w:spacing w:line="600" w:lineRule="exact"/>
        <w:ind w:firstLine="643"/>
      </w:pPr>
      <w:r>
        <w:rPr>
          <w:rFonts w:hint="eastAsia"/>
          <w:b/>
          <w:bCs/>
        </w:rPr>
        <w:t>前端提升生态产品存量</w:t>
      </w:r>
      <w:r>
        <w:rPr>
          <w:rFonts w:hint="eastAsia"/>
        </w:rPr>
        <w:t>。牢固树立和践行“绿水青山就是金山银山、冰天雪地也是金山银山”的理念，深入推进长江上游生态屏障建设，提升生态产品供给能力。以创建“两山”实践基地为契机，建立县域生态产品总值（GEP）核算体系，重点核算森林碳汇、水源涵养、生物多样性等调节服务价值，以及玫瑰、苹果、中药材等农产品供给服务价值。开展自然资源确权登记，推进草地、湿地、矿产资源统一确权，明晰生态产品产权归属。到2030年，</w:t>
      </w:r>
      <w:r>
        <w:rPr>
          <w:rFonts w:hint="eastAsia"/>
          <w:lang w:val="en-US" w:eastAsia="zh-CN"/>
        </w:rPr>
        <w:t>力争</w:t>
      </w:r>
      <w:r>
        <w:rPr>
          <w:rFonts w:hint="eastAsia"/>
        </w:rPr>
        <w:t>完成全域GEP常态化核算，定期发布生态产品价值报告。</w:t>
      </w:r>
    </w:p>
    <w:p w14:paraId="456E6D65">
      <w:pPr>
        <w:spacing w:line="600" w:lineRule="exact"/>
        <w:ind w:firstLine="643"/>
      </w:pPr>
      <w:r>
        <w:rPr>
          <w:rFonts w:hint="eastAsia"/>
          <w:b/>
          <w:bCs/>
        </w:rPr>
        <w:t>发展山地特色生态旅游业</w:t>
      </w:r>
      <w:r>
        <w:rPr>
          <w:rFonts w:hint="eastAsia"/>
        </w:rPr>
        <w:t>。打造世界知名山地户外IP，加快推进中国户外运动第一山、四姑娘山景区拓景扩容提质、国际户外运动休闲目的地建设。整合巴朗山、夹金山、虹桥沟、玛嘉沟、结斯冰川等资源，统筹开发攀冰等专业户外运动产品、登山漂流等常规户外运动产品。打造“映秀—卧龙—四姑娘山”人与自然研学长廊，建强夹金生态学习基地、四姑娘山生态户外研学基地、横断山脉生态科普基地、地质博物馆集群等平台，开发世界遗产科考、高山动植物科考、民俗非遗文化传承等研学产品。培育“红色+生态”“生态+康养”等复合型旅游产品，完善生态停车场、绿色民宿等配套设施，打造“快旅慢游”服务体系。着力加快推进沃日河旅游黄金走廊、卓小路红旅融合走廊、美汗路嘉绒文化走廊、别斯满文化旅游走廊建设。重点推动四姑娘山、两河口会议纪念地、沃日土司文化城、结斯冰川、玛嘉沟、虹桥沟等景区创牌、提质、扩容。推动乡村旅游提质升级，创建一批特色旅游村寨。</w:t>
      </w:r>
    </w:p>
    <w:p w14:paraId="3867A245">
      <w:pPr>
        <w:spacing w:line="600" w:lineRule="exact"/>
        <w:ind w:firstLine="643"/>
      </w:pPr>
      <w:r>
        <w:rPr>
          <w:rFonts w:hint="eastAsia"/>
          <w:b/>
          <w:bCs/>
        </w:rPr>
        <w:t>培育高原生态农业</w:t>
      </w:r>
      <w:r>
        <w:rPr>
          <w:rFonts w:hint="eastAsia"/>
        </w:rPr>
        <w:t>。明确生态产品经营开发导向，严格执行产业准入负面清单，积极培育“生态小金”区域公共品牌。做强小金生态农业，构建“5+N”特色农业产业体系，提质发展小金苹果、高山玫瑰、酿酒葡萄、高山蔬菜、高原牦牛、沙棘等生态产品。</w:t>
      </w:r>
      <w:r>
        <w:rPr>
          <w:rFonts w:hint="eastAsia"/>
          <w:lang w:val="en-US" w:eastAsia="zh-CN"/>
        </w:rPr>
        <w:t>加快推进规模化高原冷水鱼养殖基地建设。</w:t>
      </w:r>
      <w:r>
        <w:rPr>
          <w:rFonts w:hint="eastAsia"/>
        </w:rPr>
        <w:t>实施“农业品牌战略”，擦亮“小金苹果”金字招牌，培育打造“小金玫瑰”“小金蔬菜”“小金葡萄”“小金牦牛”等区域品牌。有序推进虫草、松茸等林下珍稀资源保护开发，推动道地中药材规范化种植，支持人工培育产业发展。创新农牧业融合发展模式，加快发展高端农业、休闲农业、观光农业、创意农业等新业态，培育发展“高山民宿+高山康养+生态农业”融合业态，实现生态农产品溢价。</w:t>
      </w:r>
    </w:p>
    <w:p w14:paraId="7AC8FE17">
      <w:pPr>
        <w:spacing w:line="600" w:lineRule="exact"/>
        <w:ind w:firstLine="643"/>
      </w:pPr>
      <w:r>
        <w:rPr>
          <w:rFonts w:hint="eastAsia"/>
          <w:b/>
          <w:bCs/>
        </w:rPr>
        <w:t>促进生态产品价值流通</w:t>
      </w:r>
      <w:r>
        <w:rPr>
          <w:rFonts w:hint="eastAsia"/>
        </w:rPr>
        <w:t>。结合小金县森林“四库”建设，探索林草碳汇生态产品价值转换路径，依托川西北森林碳汇项目开发方法学，推动符合条件的造林、森林经营项目纳入碳汇交易。参与四川林草碳普惠机制，引导公众绿色出行、低碳消费。探索与发达地区碳交易制度，推进与发达地区土地增减挂钩试点改革，探索多元化、市场化生态保护补偿机制，开展生态综合补偿试点。2030年之前，争创“绿水青山就是金山银山”实践创新基地。</w:t>
      </w:r>
    </w:p>
    <w:p w14:paraId="0BC8AE12">
      <w:pPr>
        <w:pStyle w:val="4"/>
        <w:spacing w:before="156" w:after="156"/>
      </w:pPr>
      <w:bookmarkStart w:id="72" w:name="_Toc17703"/>
      <w:bookmarkStart w:id="73" w:name="_Toc29523"/>
      <w:bookmarkStart w:id="74" w:name="_Toc9004"/>
      <w:r>
        <w:rPr>
          <w:rFonts w:hint="eastAsia"/>
        </w:rPr>
        <w:t>第六节</w:t>
      </w:r>
      <w:r>
        <w:rPr>
          <w:rFonts w:ascii="方正小标宋简体"/>
        </w:rPr>
        <w:t> </w:t>
      </w:r>
      <w:r>
        <w:rPr>
          <w:rFonts w:hint="eastAsia"/>
        </w:rPr>
        <w:t>培育低碳生活方式</w:t>
      </w:r>
      <w:bookmarkEnd w:id="72"/>
      <w:bookmarkEnd w:id="73"/>
      <w:bookmarkEnd w:id="74"/>
    </w:p>
    <w:p w14:paraId="2CCAA9CE">
      <w:pPr>
        <w:spacing w:line="600" w:lineRule="exact"/>
        <w:ind w:firstLine="643"/>
        <w:rPr>
          <w:rFonts w:hint="default" w:eastAsia="仿宋_GB2312"/>
          <w:color w:val="000000"/>
          <w:szCs w:val="32"/>
          <w:lang w:val="en-US" w:eastAsia="zh-CN"/>
        </w:rPr>
      </w:pPr>
      <w:r>
        <w:rPr>
          <w:rFonts w:hint="eastAsia"/>
          <w:b/>
          <w:bCs/>
          <w:color w:val="000000"/>
          <w:szCs w:val="32"/>
        </w:rPr>
        <w:t>倡导全民绿色生活</w:t>
      </w:r>
      <w:r>
        <w:rPr>
          <w:rFonts w:hint="eastAsia"/>
          <w:color w:val="000000"/>
          <w:szCs w:val="32"/>
        </w:rPr>
        <w:t>。大力倡导文明、节约、绿色的消费方式和生活习惯，推动居民在衣食住行娱等方面加快向勤俭节约、绿色低碳、文明健康的方式转变。建设低碳社区与节约型社会，推广环境友好使者、少开一天车、熄灯一小时、空调26度、地球日等公益活动。引导绿色餐饮，鼓励餐饮行业减少一次性餐具或提供可降解打包盒，并对餐厨垃圾实施分类回收与利用。倡导绿色办公，严格执行节能环保产品强制采购制度，优先采购节能、节水、节材产品，优化办公家具、设备等配置，盘活存量资产，减少资产的闲置浪费，推广使用环保再生纸、再生鼓粉盒等资源再生产品。</w:t>
      </w:r>
      <w:r>
        <w:rPr>
          <w:rFonts w:hint="eastAsia"/>
          <w:color w:val="000000"/>
          <w:szCs w:val="32"/>
          <w:lang w:val="en-US" w:eastAsia="zh-CN"/>
        </w:rPr>
        <w:t>探索旅游碳普惠，以四姑娘山景区为核心，探索设计多元化低碳场景与积分激励。</w:t>
      </w:r>
    </w:p>
    <w:p w14:paraId="75E0FF53">
      <w:pPr>
        <w:autoSpaceDE w:val="0"/>
        <w:autoSpaceDN w:val="0"/>
        <w:snapToGrid w:val="0"/>
        <w:spacing w:line="600" w:lineRule="exact"/>
        <w:ind w:firstLine="0" w:firstLineChars="0"/>
        <w:jc w:val="center"/>
        <w:outlineLvl w:val="1"/>
        <w:rPr>
          <w:b/>
          <w:bCs/>
        </w:rPr>
      </w:pPr>
      <w:bookmarkStart w:id="75" w:name="_Toc13781"/>
      <w:bookmarkStart w:id="76" w:name="_Toc5075"/>
      <w:bookmarkStart w:id="77" w:name="_Toc18640"/>
      <w:bookmarkStart w:id="78" w:name="_Toc28865"/>
      <w:r>
        <w:rPr>
          <w:b/>
          <w:bCs/>
        </w:rPr>
        <w:t>专栏</w:t>
      </w:r>
      <w:r>
        <w:rPr>
          <w:rFonts w:hint="eastAsia"/>
          <w:b/>
          <w:bCs/>
          <w:lang w:val="en-US" w:eastAsia="zh-CN"/>
        </w:rPr>
        <w:t>三</w:t>
      </w:r>
      <w:r>
        <w:rPr>
          <w:b/>
          <w:bCs/>
        </w:rPr>
        <w:t xml:space="preserve">  </w:t>
      </w:r>
      <w:r>
        <w:rPr>
          <w:rFonts w:hint="eastAsia"/>
          <w:b/>
          <w:bCs/>
        </w:rPr>
        <w:t>绿色低碳转型</w:t>
      </w:r>
      <w:r>
        <w:rPr>
          <w:b/>
          <w:bCs/>
        </w:rPr>
        <w:t>重点项目</w:t>
      </w:r>
      <w:bookmarkEnd w:id="75"/>
      <w:bookmarkEnd w:id="76"/>
      <w:bookmarkEnd w:id="77"/>
      <w:bookmarkEnd w:id="78"/>
    </w:p>
    <w:tbl>
      <w:tblPr>
        <w:tblStyle w:val="26"/>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1"/>
      </w:tblGrid>
      <w:tr w14:paraId="5CA0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9051" w:type="dxa"/>
            <w:vAlign w:val="center"/>
          </w:tcPr>
          <w:p w14:paraId="2DE882E8">
            <w:pPr>
              <w:spacing w:line="400" w:lineRule="exact"/>
              <w:ind w:firstLine="480"/>
              <w:jc w:val="left"/>
              <w:rPr>
                <w:b/>
                <w:bCs/>
                <w:sz w:val="24"/>
              </w:rPr>
            </w:pPr>
            <w:r>
              <w:rPr>
                <w:b/>
                <w:bCs/>
                <w:sz w:val="24"/>
              </w:rPr>
              <w:t>（</w:t>
            </w:r>
            <w:r>
              <w:rPr>
                <w:rFonts w:hint="eastAsia"/>
                <w:b/>
                <w:bCs/>
                <w:sz w:val="24"/>
              </w:rPr>
              <w:t>一</w:t>
            </w:r>
            <w:r>
              <w:rPr>
                <w:b/>
                <w:bCs/>
                <w:sz w:val="24"/>
              </w:rPr>
              <w:t>）生态</w:t>
            </w:r>
            <w:r>
              <w:rPr>
                <w:rFonts w:hint="eastAsia"/>
                <w:b/>
                <w:bCs/>
                <w:sz w:val="24"/>
              </w:rPr>
              <w:t>旅游业建设工程</w:t>
            </w:r>
          </w:p>
          <w:p w14:paraId="262B0D10">
            <w:pPr>
              <w:spacing w:line="400" w:lineRule="exact"/>
              <w:ind w:firstLine="480"/>
              <w:jc w:val="left"/>
              <w:rPr>
                <w:sz w:val="24"/>
                <w:highlight w:val="yellow"/>
              </w:rPr>
            </w:pPr>
            <w:r>
              <w:rPr>
                <w:rFonts w:hint="eastAsia"/>
                <w:sz w:val="24"/>
              </w:rPr>
              <w:t>新建四姑娘山生态户外研学基地。</w:t>
            </w:r>
          </w:p>
        </w:tc>
      </w:tr>
      <w:tr w14:paraId="2C99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9051" w:type="dxa"/>
            <w:vAlign w:val="center"/>
          </w:tcPr>
          <w:p w14:paraId="25FFD563">
            <w:pPr>
              <w:spacing w:line="400" w:lineRule="exact"/>
              <w:ind w:firstLine="482"/>
              <w:jc w:val="left"/>
              <w:rPr>
                <w:sz w:val="24"/>
              </w:rPr>
            </w:pPr>
            <w:r>
              <w:rPr>
                <w:rFonts w:hint="eastAsia"/>
                <w:b/>
                <w:bCs/>
                <w:sz w:val="24"/>
              </w:rPr>
              <w:t>（二）清洁能源发展工程</w:t>
            </w:r>
          </w:p>
          <w:p w14:paraId="62A9F142">
            <w:pPr>
              <w:spacing w:line="400" w:lineRule="exact"/>
              <w:ind w:firstLine="480"/>
              <w:jc w:val="left"/>
              <w:rPr>
                <w:sz w:val="24"/>
              </w:rPr>
            </w:pPr>
            <w:r>
              <w:rPr>
                <w:rFonts w:hint="eastAsia"/>
                <w:sz w:val="24"/>
              </w:rPr>
              <w:t>新建小金县集中式风电项目</w:t>
            </w:r>
            <w:r>
              <w:rPr>
                <w:rFonts w:hint="eastAsia"/>
                <w:sz w:val="24"/>
                <w:lang w:eastAsia="zh-CN"/>
              </w:rPr>
              <w:t>、流域光伏基地水光蓄一体化光伏发电项目</w:t>
            </w:r>
            <w:r>
              <w:rPr>
                <w:rFonts w:hint="eastAsia"/>
                <w:sz w:val="24"/>
              </w:rPr>
              <w:t>。</w:t>
            </w:r>
          </w:p>
        </w:tc>
      </w:tr>
      <w:tr w14:paraId="042C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9051" w:type="dxa"/>
            <w:vAlign w:val="center"/>
          </w:tcPr>
          <w:p w14:paraId="11A9B0A6">
            <w:pPr>
              <w:spacing w:line="400" w:lineRule="exact"/>
              <w:ind w:firstLine="482"/>
              <w:jc w:val="left"/>
              <w:rPr>
                <w:b/>
                <w:bCs/>
                <w:sz w:val="24"/>
              </w:rPr>
            </w:pPr>
            <w:r>
              <w:rPr>
                <w:b/>
                <w:bCs/>
                <w:sz w:val="24"/>
              </w:rPr>
              <w:t>（</w:t>
            </w:r>
            <w:r>
              <w:rPr>
                <w:rFonts w:hint="eastAsia"/>
                <w:b/>
                <w:bCs/>
                <w:sz w:val="24"/>
              </w:rPr>
              <w:t>三</w:t>
            </w:r>
            <w:r>
              <w:rPr>
                <w:b/>
                <w:bCs/>
                <w:sz w:val="24"/>
              </w:rPr>
              <w:t>）</w:t>
            </w:r>
            <w:r>
              <w:rPr>
                <w:rFonts w:hint="eastAsia"/>
                <w:b/>
                <w:bCs/>
                <w:sz w:val="24"/>
              </w:rPr>
              <w:t>生态农业发展</w:t>
            </w:r>
            <w:r>
              <w:rPr>
                <w:b/>
                <w:bCs/>
                <w:sz w:val="24"/>
              </w:rPr>
              <w:t>工程</w:t>
            </w:r>
          </w:p>
          <w:p w14:paraId="35EA9A43">
            <w:pPr>
              <w:spacing w:line="400" w:lineRule="exact"/>
              <w:ind w:firstLine="480"/>
              <w:jc w:val="left"/>
              <w:rPr>
                <w:sz w:val="24"/>
              </w:rPr>
            </w:pPr>
            <w:r>
              <w:rPr>
                <w:rFonts w:hint="eastAsia"/>
                <w:sz w:val="24"/>
              </w:rPr>
              <w:t>实施特色苹果产业提质增效建设项目。</w:t>
            </w:r>
          </w:p>
        </w:tc>
      </w:tr>
    </w:tbl>
    <w:p w14:paraId="32053D2B">
      <w:pPr>
        <w:widowControl/>
        <w:ind w:firstLine="0" w:firstLineChars="0"/>
        <w:jc w:val="left"/>
        <w:rPr>
          <w:rFonts w:eastAsia="方正小标宋简体"/>
          <w:bCs/>
          <w:kern w:val="44"/>
          <w:sz w:val="36"/>
          <w:szCs w:val="44"/>
        </w:rPr>
      </w:pPr>
      <w:bookmarkStart w:id="79" w:name="_Toc15518"/>
    </w:p>
    <w:bookmarkEnd w:id="79"/>
    <w:p w14:paraId="2648907A">
      <w:pPr>
        <w:widowControl/>
        <w:ind w:firstLine="0" w:firstLineChars="0"/>
        <w:jc w:val="left"/>
        <w:rPr>
          <w:rFonts w:eastAsia="方正小标宋简体"/>
          <w:bCs/>
          <w:kern w:val="44"/>
          <w:sz w:val="36"/>
          <w:szCs w:val="44"/>
        </w:rPr>
      </w:pPr>
      <w:r>
        <w:br w:type="page"/>
      </w:r>
    </w:p>
    <w:p w14:paraId="48DB4D98">
      <w:pPr>
        <w:pStyle w:val="3"/>
        <w:spacing w:before="156" w:after="156"/>
      </w:pPr>
      <w:bookmarkStart w:id="80" w:name="_Toc31691"/>
      <w:bookmarkStart w:id="81" w:name="_Toc32185"/>
      <w:bookmarkStart w:id="82" w:name="_Toc25645"/>
      <w:bookmarkStart w:id="83" w:name="_Toc4720"/>
      <w:bookmarkStart w:id="84" w:name="_Toc171087395"/>
      <w:r>
        <w:rPr>
          <w:rFonts w:hint="eastAsia"/>
        </w:rPr>
        <w:t>第</w:t>
      </w:r>
      <w:r>
        <w:rPr>
          <w:rFonts w:hint="eastAsia"/>
          <w:lang w:val="en-US" w:eastAsia="zh-CN"/>
        </w:rPr>
        <w:t>五</w:t>
      </w:r>
      <w:r>
        <w:rPr>
          <w:rFonts w:hint="eastAsia"/>
        </w:rPr>
        <w:t>章</w:t>
      </w:r>
      <w:r>
        <w:rPr>
          <w:rFonts w:ascii="方正小标宋简体"/>
        </w:rPr>
        <w:t> </w:t>
      </w:r>
      <w:r>
        <w:rPr>
          <w:rFonts w:hint="eastAsia" w:ascii="方正小标宋简体"/>
        </w:rPr>
        <w:t>持续</w:t>
      </w:r>
      <w:r>
        <w:rPr>
          <w:rFonts w:hint="eastAsia"/>
        </w:rPr>
        <w:t>深入推进污染防治攻坚</w:t>
      </w:r>
      <w:bookmarkEnd w:id="80"/>
      <w:bookmarkEnd w:id="81"/>
      <w:bookmarkEnd w:id="82"/>
      <w:bookmarkEnd w:id="83"/>
      <w:bookmarkEnd w:id="84"/>
    </w:p>
    <w:p w14:paraId="203C9FAE">
      <w:pPr>
        <w:pStyle w:val="4"/>
        <w:spacing w:before="156" w:after="156"/>
      </w:pPr>
      <w:bookmarkStart w:id="85" w:name="_Toc15141"/>
      <w:bookmarkStart w:id="86" w:name="_Toc4907"/>
      <w:bookmarkStart w:id="87" w:name="_Toc7475"/>
      <w:r>
        <w:rPr>
          <w:rFonts w:hint="eastAsia"/>
        </w:rPr>
        <w:t>第一节</w:t>
      </w:r>
      <w:r>
        <w:rPr>
          <w:rFonts w:ascii="方正小标宋简体"/>
        </w:rPr>
        <w:t> </w:t>
      </w:r>
      <w:r>
        <w:rPr>
          <w:rFonts w:hint="eastAsia"/>
        </w:rPr>
        <w:t>持续深入打好蓝天保卫战</w:t>
      </w:r>
      <w:bookmarkEnd w:id="85"/>
      <w:bookmarkEnd w:id="86"/>
      <w:bookmarkEnd w:id="87"/>
    </w:p>
    <w:p w14:paraId="50C6996C">
      <w:pPr>
        <w:spacing w:line="600" w:lineRule="exact"/>
        <w:ind w:firstLine="643"/>
      </w:pPr>
      <w:r>
        <w:rPr>
          <w:rFonts w:hint="eastAsia"/>
          <w:b/>
          <w:bCs/>
        </w:rPr>
        <w:t>持续加强大气环境精准治理。</w:t>
      </w:r>
      <w:r>
        <w:rPr>
          <w:rFonts w:hint="eastAsia"/>
        </w:rPr>
        <w:t>以持续稳固和改善全域环境空气质量为核心，分行业、分企业开展精准治污行动，持续加强大气污染源头治理与联防联控。深化“六控”工程，对全县大气污染源实行“清单制”动态管理，空气质量优良天数比例 100%，大气环境质量稳定保持全省前列。</w:t>
      </w:r>
    </w:p>
    <w:p w14:paraId="6DF89B73">
      <w:pPr>
        <w:spacing w:line="600" w:lineRule="exact"/>
        <w:ind w:firstLine="643"/>
      </w:pPr>
      <w:r>
        <w:rPr>
          <w:rFonts w:hint="eastAsia"/>
          <w:b/>
          <w:bCs/>
        </w:rPr>
        <w:t>加强重点行业企业污染防控。</w:t>
      </w:r>
      <w:r>
        <w:rPr>
          <w:rFonts w:hint="eastAsia"/>
        </w:rPr>
        <w:t>继续推进清洁生产和资源综合利用，加快调整工业结构，加大节能技术改造力度，分行业、分企业开展精准治污行动。强化生活垃圾焚烧二噁英排放管控，推动垃圾焚烧厂在线监测系统数据联网。</w:t>
      </w:r>
    </w:p>
    <w:p w14:paraId="75707519">
      <w:pPr>
        <w:spacing w:line="600" w:lineRule="exact"/>
        <w:ind w:firstLine="643"/>
      </w:pPr>
      <w:r>
        <w:rPr>
          <w:b/>
          <w:bCs/>
          <w:szCs w:val="32"/>
          <w:lang w:val="zh-CN"/>
        </w:rPr>
        <w:t>深化</w:t>
      </w:r>
      <w:r>
        <w:rPr>
          <w:rFonts w:hint="eastAsia"/>
          <w:b/>
          <w:bCs/>
          <w:szCs w:val="32"/>
        </w:rPr>
        <w:t>移动源与</w:t>
      </w:r>
      <w:r>
        <w:rPr>
          <w:b/>
          <w:bCs/>
          <w:szCs w:val="32"/>
          <w:lang w:val="zh-CN"/>
        </w:rPr>
        <w:t>扬尘管控。</w:t>
      </w:r>
      <w:r>
        <w:rPr>
          <w:szCs w:val="32"/>
          <w:lang w:val="zh-CN"/>
        </w:rPr>
        <w:t>围绕“油、路、车”协同治理路径，系统降低移动源污染物排放。</w:t>
      </w:r>
      <w:r>
        <w:rPr>
          <w:rFonts w:hint="eastAsia"/>
        </w:rPr>
        <w:t>加强机动车检测检验机构监管与城市交通污染治理，严格机动车环保管理，加大黄标车、老旧车淘汰力度，推动公交、环卫、出租等公共服务领域新能源汽车的运用。加强油品全环节监管，清理整顿自建油罐、流动加油车和黑加油站点，强化加油站油气回收治理与专项检查。到2030年，基本淘汰国四及以下营运货车，逐步推动淘汰国二及以下工程机械。全面推行绿色施工，建设“互联网+智慧工地”监管能力，将施工工地扬尘治理与施工企业资质评价、信用评价等挂钩，压实建设单位和施工单位扬尘管控责任，推广“固定围挡喷淋+360°高空旋转喷淋+移动式雾炮”“电动化施工运输车辆”等工地治尘技术。全面规范废品收购、汽车洗修、五金加工等散乱污经营点，强化广场、农贸市场管理，加强市政道路设施清洁维护。</w:t>
      </w:r>
    </w:p>
    <w:p w14:paraId="764936B1">
      <w:pPr>
        <w:spacing w:line="600" w:lineRule="exact"/>
        <w:ind w:firstLine="643"/>
      </w:pPr>
      <w:r>
        <w:rPr>
          <w:rFonts w:hint="eastAsia"/>
          <w:b/>
          <w:bCs/>
        </w:rPr>
        <w:t>加强油烟与异味监管。</w:t>
      </w:r>
      <w:r>
        <w:rPr>
          <w:rFonts w:hint="eastAsia"/>
        </w:rPr>
        <w:t>加强餐饮油烟污染控制，整治露天油烟污染，中型以上饮食服务单位必须安装油烟净化设施。加强夜市等分散式油烟管控，消除油烟及恶臭异味扰民问题。严控生活垃圾、落叶露天焚烧。</w:t>
      </w:r>
    </w:p>
    <w:p w14:paraId="71C412D1">
      <w:pPr>
        <w:pStyle w:val="4"/>
        <w:spacing w:before="156" w:after="156"/>
      </w:pPr>
      <w:bookmarkStart w:id="88" w:name="_Toc15751"/>
      <w:bookmarkStart w:id="89" w:name="_Toc32247"/>
      <w:bookmarkStart w:id="90" w:name="_Toc9444"/>
      <w:r>
        <w:rPr>
          <w:rFonts w:hint="eastAsia"/>
        </w:rPr>
        <w:t>第二节</w:t>
      </w:r>
      <w:r>
        <w:rPr>
          <w:rFonts w:ascii="方正小标宋简体"/>
        </w:rPr>
        <w:t> </w:t>
      </w:r>
      <w:r>
        <w:rPr>
          <w:rFonts w:hint="eastAsia"/>
        </w:rPr>
        <w:t>持续深入打好碧水保卫战</w:t>
      </w:r>
      <w:bookmarkEnd w:id="88"/>
      <w:bookmarkEnd w:id="89"/>
      <w:bookmarkEnd w:id="90"/>
    </w:p>
    <w:p w14:paraId="38304E10">
      <w:pPr>
        <w:spacing w:line="600" w:lineRule="exact"/>
        <w:ind w:firstLine="643"/>
      </w:pPr>
      <w:r>
        <w:rPr>
          <w:rFonts w:hint="eastAsia"/>
          <w:b/>
          <w:bCs/>
        </w:rPr>
        <w:t>强化水资源管控</w:t>
      </w:r>
      <w:r>
        <w:rPr>
          <w:rFonts w:hint="eastAsia"/>
        </w:rPr>
        <w:t>。加强水资源开发利用控制红线管理，全面落实水资源总量指标管理，开展河湖生态流量监测评价。切实保障河湖生态流量，加强小金川河、沃日河等流域小水电生态流量监督管理，开展生态流量泄放专项检查，督促杨家湾水电站、猛固桥水电站、春厂坝等水电站按计划开展增殖放流。推动公共机构场所节水改造，推广生活节水器具使用，持续加强再生水、雨水等非常规水源利用。</w:t>
      </w:r>
    </w:p>
    <w:p w14:paraId="0A12D922">
      <w:pPr>
        <w:spacing w:line="600" w:lineRule="exact"/>
        <w:ind w:firstLine="643"/>
      </w:pPr>
      <w:r>
        <w:rPr>
          <w:rFonts w:hint="eastAsia"/>
          <w:b/>
          <w:bCs/>
        </w:rPr>
        <w:t>深化水环境综合治理</w:t>
      </w:r>
      <w:r>
        <w:rPr>
          <w:rFonts w:hint="eastAsia"/>
        </w:rPr>
        <w:t>。加强小金川河、沃日河、抚边河、汗牛河等主要河流上下游、左右岸生态治理，推进排口动态清零。强化工业污水综合整治，推动建材、采砂等重点行业污水处理设施改造，推进高耗水企业废水深度处理回用，加强食品饮料、中藏医药、农畜产品精加工等重点行业废水分类收集、分质处理和清污分流。加强城镇生活污水散排口管理，通过管网建设、工艺优化和管理智能化持续推进城乡生活污水收集率，改造提升城镇生活污水处理厂，以四姑娘山风景名胜区及周边度假区为重点安装自动水质监测设施和视频监控系统，进一步完善入河排污口规范化建设及长效管理。到2030年，国省控重点河流水质优良（达到或优于</w:t>
      </w:r>
      <w:r>
        <w:rPr>
          <w:rFonts w:hint="eastAsia" w:ascii="仿宋_GB2312" w:hAnsi="仿宋_GB2312" w:cs="仿宋_GB2312"/>
        </w:rPr>
        <w:t>Ⅱ</w:t>
      </w:r>
      <w:r>
        <w:rPr>
          <w:rFonts w:hint="eastAsia"/>
        </w:rPr>
        <w:t>类）比例维持在 100%，建制镇污水处理设施覆盖率达95%以上。</w:t>
      </w:r>
    </w:p>
    <w:p w14:paraId="1020B4E9">
      <w:pPr>
        <w:spacing w:line="600" w:lineRule="exact"/>
        <w:ind w:firstLine="643"/>
      </w:pPr>
      <w:r>
        <w:rPr>
          <w:rFonts w:hint="eastAsia"/>
          <w:b/>
          <w:bCs/>
        </w:rPr>
        <w:t>加强水生态保护</w:t>
      </w:r>
      <w:r>
        <w:rPr>
          <w:rFonts w:hint="eastAsia"/>
        </w:rPr>
        <w:t>。强化江河源区山溪湿地、高原（寒）湿地保护，持续开展水生态系统调查监测。开展智慧河道建设，建立“一河一档”，完善河道管理保护数据库和“一张图”。加强水生态保护修复，开展小金川河、沃日河、抚边河、汗牛河生态岸线、河岸缓冲带建设，定期开展河流（湖库）健康评价。</w:t>
      </w:r>
    </w:p>
    <w:p w14:paraId="2A123207">
      <w:pPr>
        <w:pStyle w:val="4"/>
        <w:spacing w:before="156" w:after="156"/>
      </w:pPr>
      <w:bookmarkStart w:id="91" w:name="_Toc10417"/>
      <w:bookmarkStart w:id="92" w:name="_Toc12913"/>
      <w:bookmarkStart w:id="93" w:name="_Toc3233"/>
      <w:r>
        <w:rPr>
          <w:rFonts w:hint="eastAsia"/>
        </w:rPr>
        <w:t>第三节</w:t>
      </w:r>
      <w:r>
        <w:rPr>
          <w:rFonts w:ascii="方正小标宋简体"/>
        </w:rPr>
        <w:t> </w:t>
      </w:r>
      <w:r>
        <w:rPr>
          <w:rFonts w:hint="eastAsia"/>
        </w:rPr>
        <w:t>持续深入打好净土保卫战</w:t>
      </w:r>
      <w:bookmarkEnd w:id="91"/>
      <w:bookmarkEnd w:id="92"/>
      <w:bookmarkEnd w:id="93"/>
    </w:p>
    <w:p w14:paraId="1715F616">
      <w:pPr>
        <w:spacing w:line="600" w:lineRule="exact"/>
        <w:ind w:firstLine="643"/>
        <w:rPr>
          <w:color w:val="000000"/>
          <w:szCs w:val="32"/>
        </w:rPr>
      </w:pPr>
      <w:r>
        <w:rPr>
          <w:rFonts w:hint="eastAsia"/>
          <w:b/>
          <w:bCs/>
        </w:rPr>
        <w:t>系统治理土壤环境</w:t>
      </w:r>
      <w:r>
        <w:rPr>
          <w:rFonts w:hint="eastAsia"/>
        </w:rPr>
        <w:t>。以支撑新时代更高水平“天府粮仓”建设目标为引领，严格实施农用地分类管理，保障农产品质量安全。严格保护优先保护类耕地，分阶段推进农用地污染溯源和整治，动态划定和调整农用地土壤环境质量类别，到2030年受污染耕地安全利用率持续保持100%。</w:t>
      </w:r>
      <w:r>
        <w:rPr>
          <w:rFonts w:hint="eastAsia"/>
          <w:color w:val="000000"/>
          <w:szCs w:val="32"/>
        </w:rPr>
        <w:t>开展非煤矿山等重点行业领域土壤污染隐患排查和质量监测，严格建设用地环境准入管理，按照阿坝州统一工作安排，新增土壤监测点位。</w:t>
      </w:r>
    </w:p>
    <w:p w14:paraId="408E5EAB">
      <w:pPr>
        <w:spacing w:line="600" w:lineRule="exact"/>
        <w:ind w:firstLine="643"/>
        <w:rPr>
          <w:color w:val="000000"/>
          <w:szCs w:val="32"/>
        </w:rPr>
      </w:pPr>
      <w:r>
        <w:rPr>
          <w:rFonts w:hint="eastAsia"/>
          <w:b/>
          <w:bCs/>
        </w:rPr>
        <w:t>深化地下水污染防治</w:t>
      </w:r>
      <w:r>
        <w:rPr>
          <w:lang w:val="zh-CN"/>
        </w:rPr>
        <w:t>。</w:t>
      </w:r>
      <w:r>
        <w:rPr>
          <w:rFonts w:hint="eastAsia"/>
          <w:color w:val="000000"/>
          <w:szCs w:val="32"/>
        </w:rPr>
        <w:t>加强土壤和地下水污染源头防控，定期对垃圾填埋场（转运站）周边土壤、地下水开展监督性监测。实施垃圾堆场、填埋场（转运站）整治，开展防渗改造、治理修复，严防垃圾渗滤液溢出风险。完善地下水监测体系，优化全域地下水监测网布局。到2030年，持续保持地下水环境优质稳固提升。</w:t>
      </w:r>
    </w:p>
    <w:p w14:paraId="30D29433">
      <w:pPr>
        <w:pStyle w:val="4"/>
        <w:spacing w:before="156" w:after="156"/>
      </w:pPr>
      <w:bookmarkStart w:id="94" w:name="_Toc21422"/>
      <w:bookmarkStart w:id="95" w:name="_Toc13671"/>
      <w:bookmarkStart w:id="96" w:name="_Toc17121"/>
      <w:r>
        <w:rPr>
          <w:rFonts w:hint="eastAsia"/>
        </w:rPr>
        <w:t>第四节</w:t>
      </w:r>
      <w:r>
        <w:rPr>
          <w:rFonts w:ascii="方正小标宋简体"/>
        </w:rPr>
        <w:t> </w:t>
      </w:r>
      <w:r>
        <w:rPr>
          <w:rFonts w:hint="eastAsia"/>
        </w:rPr>
        <w:t>加强固体废物治理</w:t>
      </w:r>
      <w:bookmarkEnd w:id="94"/>
      <w:bookmarkEnd w:id="95"/>
      <w:bookmarkEnd w:id="96"/>
    </w:p>
    <w:p w14:paraId="198C2659">
      <w:pPr>
        <w:spacing w:line="600" w:lineRule="exact"/>
        <w:ind w:firstLine="643"/>
      </w:pPr>
      <w:r>
        <w:rPr>
          <w:rFonts w:hint="eastAsia"/>
          <w:b/>
          <w:bCs/>
        </w:rPr>
        <w:t>开展生活源固废治理</w:t>
      </w:r>
      <w:r>
        <w:rPr>
          <w:rFonts w:hint="eastAsia"/>
        </w:rPr>
        <w:t>。加强城乡生活垃圾源头减量，以餐饮、物流、酒店、文旅等行业为重点限制塑料使用，鼓励“以竹代塑”等塑料替代品推广。加强城镇、重点旅游景区、旅游集镇生活垃圾收集和处理，完善生活垃圾的收集、转运和无害化处理机制，推进乡（镇）、村、组生活垃圾就近就地无害化处理。积极推进小金县生活垃圾焚烧厂</w:t>
      </w:r>
      <w:r>
        <w:rPr>
          <w:rFonts w:hint="eastAsia"/>
          <w:color w:val="000000"/>
          <w:szCs w:val="32"/>
        </w:rPr>
        <w:t>处理排放设备深度评估，推进设备更新，按标准开展监测，强化运行监管</w:t>
      </w:r>
      <w:r>
        <w:rPr>
          <w:rFonts w:hint="eastAsia"/>
        </w:rPr>
        <w:t>。</w:t>
      </w:r>
    </w:p>
    <w:p w14:paraId="30A7D230">
      <w:pPr>
        <w:spacing w:line="600" w:lineRule="exact"/>
        <w:ind w:firstLine="643"/>
      </w:pPr>
      <w:r>
        <w:rPr>
          <w:rFonts w:hint="eastAsia"/>
          <w:b/>
          <w:bCs/>
        </w:rPr>
        <w:t>强化工业固废综合利用</w:t>
      </w:r>
      <w:r>
        <w:rPr>
          <w:rFonts w:hint="eastAsia"/>
        </w:rPr>
        <w:t>。持续开展长江经济带固体废物排查整治专项行动。建立重点产废企业“一户一档”动态监管清单，严格在建项目、砂石料场、非煤矿山等企业固废台账管理。以钨矿尾矿等为重点，推动矿石采选一体化建设，促进尾矿就近充填回填。对一般工业固体废物实施综合利用，就地资源转换，减少工业固体废物对环境的污染，实现固体废物减量化、资源化和无害化。探索退役风电、光伏设备等新型废弃物循环利用路径。</w:t>
      </w:r>
    </w:p>
    <w:p w14:paraId="31375B92">
      <w:pPr>
        <w:spacing w:line="600" w:lineRule="exact"/>
        <w:ind w:firstLine="643"/>
      </w:pPr>
      <w:r>
        <w:rPr>
          <w:rFonts w:hint="eastAsia"/>
          <w:b/>
          <w:bCs/>
        </w:rPr>
        <w:t>加强建筑垃圾全过程管理</w:t>
      </w:r>
      <w:r>
        <w:rPr>
          <w:rFonts w:hint="eastAsia"/>
        </w:rPr>
        <w:t>。强化建筑垃圾源头管控，将建筑垃圾减量化目标纳入工程施工计划，深入推广绿色建筑与装配式建筑技术实施，推广再生材料在工程建设中的运用。敦促建设单位、施工单位做好建筑垃圾收集管理工作，严格要求施工编制建筑垃圾处理方案，以四姑娘山镇、达维镇以及G350沿线居民点为重点，严防沿途遗撒和乱倒乱卸建筑垃圾，提升建筑垃圾综合利用能力，2030年，建筑垃圾综合利用率达55%。</w:t>
      </w:r>
    </w:p>
    <w:p w14:paraId="064FAB71">
      <w:pPr>
        <w:pStyle w:val="4"/>
        <w:spacing w:before="156" w:after="156"/>
      </w:pPr>
      <w:bookmarkStart w:id="97" w:name="_Toc12654"/>
      <w:bookmarkStart w:id="98" w:name="_Toc15830"/>
      <w:bookmarkStart w:id="99" w:name="_Toc31788"/>
      <w:r>
        <w:rPr>
          <w:rFonts w:hint="eastAsia"/>
        </w:rPr>
        <w:t>第五节</w:t>
      </w:r>
      <w:r>
        <w:rPr>
          <w:rFonts w:ascii="方正小标宋简体"/>
        </w:rPr>
        <w:t> </w:t>
      </w:r>
      <w:r>
        <w:rPr>
          <w:rFonts w:hint="eastAsia"/>
        </w:rPr>
        <w:t>加强农村环境治理</w:t>
      </w:r>
      <w:bookmarkEnd w:id="97"/>
      <w:bookmarkEnd w:id="98"/>
      <w:bookmarkEnd w:id="99"/>
    </w:p>
    <w:p w14:paraId="3970AF05">
      <w:pPr>
        <w:spacing w:line="600" w:lineRule="exact"/>
        <w:ind w:firstLine="643"/>
      </w:pPr>
      <w:r>
        <w:rPr>
          <w:rFonts w:hint="eastAsia"/>
          <w:b/>
          <w:bCs/>
        </w:rPr>
        <w:t>加强农业污染防控</w:t>
      </w:r>
      <w:r>
        <w:rPr>
          <w:rFonts w:hint="eastAsia"/>
        </w:rPr>
        <w:t>。以苹果、葡萄和玫瑰种植为重点，推广测土配方施肥、水肥一体化、种肥同播等高效施肥技术。</w:t>
      </w:r>
      <w:r>
        <w:rPr>
          <w:color w:val="000000"/>
          <w:szCs w:val="32"/>
        </w:rPr>
        <w:t>推行农作物病虫害专业化统防统治和绿色防控，推广现代植保机械。</w:t>
      </w:r>
      <w:r>
        <w:rPr>
          <w:rFonts w:hint="eastAsia"/>
        </w:rPr>
        <w:t>实施重点区域畜禽养殖污染防控与治理，加强畜禽粪污资源化利用。</w:t>
      </w:r>
      <w:r>
        <w:rPr>
          <w:color w:val="000000"/>
          <w:szCs w:val="32"/>
        </w:rPr>
        <w:t>实施农业废弃物综合利用示范工程</w:t>
      </w:r>
      <w:r>
        <w:rPr>
          <w:rFonts w:hint="eastAsia"/>
          <w:color w:val="000000"/>
          <w:szCs w:val="32"/>
          <w:lang w:eastAsia="zh-CN"/>
        </w:rPr>
        <w:t>、秸秆综合利用项目</w:t>
      </w:r>
      <w:r>
        <w:rPr>
          <w:color w:val="000000"/>
          <w:szCs w:val="32"/>
        </w:rPr>
        <w:t>，推进农业残膜回收利用，探索农药包装等农业废弃物回收和集中处理方式，积极拓宽农林废弃物与畜禽粪便资源化利用途径。</w:t>
      </w:r>
    </w:p>
    <w:p w14:paraId="32F729A9">
      <w:pPr>
        <w:spacing w:line="600" w:lineRule="exact"/>
        <w:ind w:firstLine="643"/>
        <w:rPr>
          <w:color w:val="000000"/>
          <w:szCs w:val="32"/>
          <w:highlight w:val="yellow"/>
        </w:rPr>
      </w:pPr>
      <w:r>
        <w:rPr>
          <w:rFonts w:hint="eastAsia"/>
          <w:b/>
          <w:bCs/>
        </w:rPr>
        <w:t>加强农村环境治理</w:t>
      </w:r>
      <w:r>
        <w:rPr>
          <w:rFonts w:hint="eastAsia"/>
        </w:rPr>
        <w:t>。扎实推进“三家园”示范工程，加强村庄环境质量提升，农村生态环境监测评价制度、农村生活污水、垃圾治理等长效管护机制基本建立并有效实施。加强农村饮水安全工程建设。有效治理农村水环境质量，因地制宜采取城镇污水管网延伸建设、自建污水处理设施、资源化利用相结合等处理方式解决生活污水问题，确保行政村生活污水处理率完成上级下达任务</w:t>
      </w:r>
      <w:r>
        <w:rPr>
          <w:rFonts w:hint="eastAsia"/>
          <w:lang w:eastAsia="zh-CN"/>
        </w:rPr>
        <w:t>，</w:t>
      </w:r>
      <w:r>
        <w:rPr>
          <w:rFonts w:hint="eastAsia"/>
          <w:lang w:val="en-US" w:eastAsia="zh-CN"/>
        </w:rPr>
        <w:t>实施四姑娘山片区农村生活污水治理改造提升、沃日河片区农村生活污水治理提升改造等项目</w:t>
      </w:r>
      <w:r>
        <w:rPr>
          <w:rFonts w:hint="eastAsia"/>
        </w:rPr>
        <w:t>。不断完善“村级收集、乡镇转运、县处理”的农村垃圾处理模式，2030年前实现农村生活垃圾处理体系行政村覆盖率达99%。按照“宜水则水、宜旱则旱”的原则推进农村厕所整治，在高半山村庄，推广使用粪尿分集式厕所，到2030年，卫生厕所普及率达95%以上。加强农村人居环境改善，</w:t>
      </w:r>
      <w:r>
        <w:rPr>
          <w:rFonts w:hint="eastAsia"/>
          <w:color w:val="000000"/>
          <w:szCs w:val="32"/>
        </w:rPr>
        <w:t>深入开展村庄清洁行动，整治杆线乱搭、标语乱贴、杂物乱放、牲畜乱跑等突出问题。</w:t>
      </w:r>
    </w:p>
    <w:p w14:paraId="4F05FFE0">
      <w:pPr>
        <w:pStyle w:val="4"/>
        <w:spacing w:before="156" w:after="156"/>
      </w:pPr>
      <w:bookmarkStart w:id="100" w:name="_Toc3394"/>
      <w:bookmarkStart w:id="101" w:name="_Toc18912"/>
      <w:bookmarkStart w:id="102" w:name="_Toc24689"/>
      <w:r>
        <w:rPr>
          <w:rFonts w:hint="eastAsia"/>
        </w:rPr>
        <w:t>第六节</w:t>
      </w:r>
      <w:r>
        <w:rPr>
          <w:rFonts w:ascii="方正小标宋简体"/>
        </w:rPr>
        <w:t> </w:t>
      </w:r>
      <w:r>
        <w:rPr>
          <w:rFonts w:hint="eastAsia"/>
        </w:rPr>
        <w:t>落实噪声污染管控</w:t>
      </w:r>
      <w:bookmarkEnd w:id="100"/>
      <w:bookmarkEnd w:id="101"/>
      <w:bookmarkEnd w:id="102"/>
    </w:p>
    <w:p w14:paraId="34361928">
      <w:pPr>
        <w:spacing w:line="600" w:lineRule="exact"/>
        <w:ind w:firstLine="643"/>
      </w:pPr>
      <w:r>
        <w:rPr>
          <w:rFonts w:hint="eastAsia"/>
          <w:b/>
          <w:bCs/>
        </w:rPr>
        <w:t>加强噪声污染防治。</w:t>
      </w:r>
      <w:r>
        <w:rPr>
          <w:rFonts w:hint="eastAsia"/>
        </w:rPr>
        <w:t>加强日常监督管理，将噪声污染防治相关执法活动纳入日常执法检查计划，实施“双随机、一公开”监管，调整完善现有抽查事项清单。以县城中心镇、四姑娘山景区和中国熊猫大道沿线为重点，组织开展声环境质量监测，逐步推进县城环境噪声自动监测体系建设。探索公众监督网络，形成部门联动、全民参与的监管体系。加强道路交通噪声污染防治，持续推进国道省道等交通干线两侧噪声敏感点的隔声设施建设。严格社会噪声污染整治，持续开展噪声扰民整治，重点加强对餐饮业、娱乐业、商业等噪声污染源的控制管理，鼓励使用吸声、隔声建筑材料，严格落实限期治理制度，并加强后期监管。继续完善施工噪声管理规定，进一步减少夜间噪声扰民现象。</w:t>
      </w:r>
    </w:p>
    <w:p w14:paraId="1A6FD2C6">
      <w:pPr>
        <w:pStyle w:val="4"/>
        <w:spacing w:before="156" w:after="156"/>
      </w:pPr>
      <w:bookmarkStart w:id="103" w:name="_Toc22102"/>
      <w:bookmarkStart w:id="104" w:name="_Toc18308"/>
      <w:bookmarkStart w:id="105" w:name="_Toc18736"/>
      <w:r>
        <w:rPr>
          <w:rFonts w:hint="eastAsia"/>
        </w:rPr>
        <w:t>第七节</w:t>
      </w:r>
      <w:r>
        <w:rPr>
          <w:rFonts w:ascii="方正小标宋简体"/>
        </w:rPr>
        <w:t> </w:t>
      </w:r>
      <w:r>
        <w:rPr>
          <w:rFonts w:hint="eastAsia" w:ascii="方正小标宋简体"/>
        </w:rPr>
        <w:t>补齐环境基础设施短板</w:t>
      </w:r>
      <w:bookmarkEnd w:id="103"/>
      <w:bookmarkEnd w:id="104"/>
      <w:bookmarkEnd w:id="105"/>
    </w:p>
    <w:p w14:paraId="4EF5B518">
      <w:pPr>
        <w:spacing w:line="600" w:lineRule="exact"/>
        <w:ind w:firstLine="643"/>
      </w:pPr>
      <w:r>
        <w:rPr>
          <w:rFonts w:hint="eastAsia"/>
          <w:b/>
          <w:bCs/>
        </w:rPr>
        <w:t>健全污水收集处理</w:t>
      </w:r>
      <w:r>
        <w:rPr>
          <w:rFonts w:hint="eastAsia"/>
        </w:rPr>
        <w:t>。加强污水管网建设与修复改造，推动支线管网和出户管的连接建设，补好城市污水管网“毛细血管”。因地制宜开展雨污分流改造，完善污水收集系统，提升污水收集效能。加快补齐乡镇污水收集管网短板，合理规划建设服务片区污水收集管网，提高乡镇污水收集能力。实施四姑娘山镇污水处理厂改扩建</w:t>
      </w:r>
      <w:r>
        <w:rPr>
          <w:rFonts w:hint="eastAsia"/>
          <w:lang w:eastAsia="zh-CN"/>
        </w:rPr>
        <w:t>、八角镇集镇污水处理设施提升改造</w:t>
      </w:r>
      <w:r>
        <w:rPr>
          <w:rFonts w:hint="eastAsia"/>
        </w:rPr>
        <w:t>等工程，提高城市生活污水集中处理能力。坚持因地制宜，选择并优化适合高寒高海拔地区的污水处理工艺，针对高寒低温等特点完善污水处理构筑物保温措施，减少污水直接排放量。</w:t>
      </w:r>
    </w:p>
    <w:p w14:paraId="43313847">
      <w:pPr>
        <w:spacing w:line="600" w:lineRule="exact"/>
        <w:ind w:firstLine="643"/>
      </w:pPr>
      <w:r>
        <w:rPr>
          <w:rFonts w:hint="eastAsia"/>
          <w:b/>
          <w:bCs/>
        </w:rPr>
        <w:t>提升生活垃圾处置能力</w:t>
      </w:r>
      <w:r>
        <w:rPr>
          <w:rFonts w:hint="eastAsia"/>
        </w:rPr>
        <w:t>。推进收集点和中转站（压缩站）建设，配套完善分类收集、分类转运设施设备，提高城乡生活垃圾分类收运设施覆盖率</w:t>
      </w:r>
      <w:r>
        <w:rPr>
          <w:rFonts w:hint="eastAsia"/>
          <w:lang w:eastAsia="zh-CN"/>
        </w:rPr>
        <w:t>，</w:t>
      </w:r>
      <w:r>
        <w:rPr>
          <w:rFonts w:hint="eastAsia"/>
          <w:lang w:val="en-US" w:eastAsia="zh-CN"/>
        </w:rPr>
        <w:t>实施农村生活收转运提升等工程</w:t>
      </w:r>
      <w:r>
        <w:rPr>
          <w:rFonts w:hint="eastAsia"/>
        </w:rPr>
        <w:t>。加强县城生活垃圾处理设施运行监管，安全处置焚烧飞灰、残渣和垃圾填埋渗滤液，实施小金县生活垃圾综合处理厂维修工程。</w:t>
      </w:r>
    </w:p>
    <w:p w14:paraId="5248DE79">
      <w:pPr>
        <w:autoSpaceDE w:val="0"/>
        <w:autoSpaceDN w:val="0"/>
        <w:snapToGrid w:val="0"/>
        <w:spacing w:line="600" w:lineRule="exact"/>
        <w:ind w:firstLine="0" w:firstLineChars="0"/>
        <w:jc w:val="center"/>
        <w:outlineLvl w:val="1"/>
        <w:rPr>
          <w:b/>
          <w:bCs/>
        </w:rPr>
      </w:pPr>
      <w:bookmarkStart w:id="106" w:name="_Toc6329"/>
      <w:bookmarkStart w:id="107" w:name="_Toc21115"/>
      <w:bookmarkStart w:id="108" w:name="_Toc5989"/>
      <w:bookmarkStart w:id="109" w:name="_Toc14109"/>
      <w:r>
        <w:rPr>
          <w:b/>
          <w:bCs/>
        </w:rPr>
        <w:t>专栏</w:t>
      </w:r>
      <w:r>
        <w:rPr>
          <w:rFonts w:hint="eastAsia"/>
          <w:b/>
          <w:bCs/>
        </w:rPr>
        <w:t>四</w:t>
      </w:r>
      <w:r>
        <w:rPr>
          <w:b/>
          <w:bCs/>
        </w:rPr>
        <w:t xml:space="preserve">  </w:t>
      </w:r>
      <w:r>
        <w:rPr>
          <w:rFonts w:hint="eastAsia"/>
          <w:b/>
          <w:bCs/>
        </w:rPr>
        <w:t>生态环境治理</w:t>
      </w:r>
      <w:r>
        <w:rPr>
          <w:b/>
          <w:bCs/>
        </w:rPr>
        <w:t>重点项目</w:t>
      </w:r>
      <w:bookmarkEnd w:id="106"/>
      <w:bookmarkEnd w:id="107"/>
      <w:bookmarkEnd w:id="108"/>
      <w:bookmarkEnd w:id="109"/>
    </w:p>
    <w:tbl>
      <w:tblPr>
        <w:tblStyle w:val="26"/>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1"/>
      </w:tblGrid>
      <w:tr w14:paraId="0A32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508BAA43">
            <w:pPr>
              <w:spacing w:line="400" w:lineRule="exact"/>
              <w:ind w:firstLine="482"/>
              <w:jc w:val="left"/>
              <w:rPr>
                <w:b/>
                <w:bCs/>
                <w:sz w:val="24"/>
              </w:rPr>
            </w:pPr>
            <w:r>
              <w:rPr>
                <w:b/>
                <w:bCs/>
                <w:sz w:val="24"/>
              </w:rPr>
              <w:t>（</w:t>
            </w:r>
            <w:r>
              <w:rPr>
                <w:rFonts w:hint="eastAsia"/>
                <w:b/>
                <w:bCs/>
                <w:sz w:val="24"/>
              </w:rPr>
              <w:t>一</w:t>
            </w:r>
            <w:r>
              <w:rPr>
                <w:b/>
                <w:bCs/>
                <w:sz w:val="24"/>
              </w:rPr>
              <w:t>）</w:t>
            </w:r>
            <w:r>
              <w:rPr>
                <w:rFonts w:hint="eastAsia"/>
                <w:b/>
                <w:bCs/>
                <w:sz w:val="24"/>
              </w:rPr>
              <w:t>水环境治理工程</w:t>
            </w:r>
          </w:p>
          <w:p w14:paraId="190FB22C">
            <w:pPr>
              <w:spacing w:line="400" w:lineRule="exact"/>
              <w:ind w:firstLine="480"/>
              <w:jc w:val="left"/>
              <w:rPr>
                <w:sz w:val="24"/>
                <w:highlight w:val="yellow"/>
              </w:rPr>
            </w:pPr>
            <w:r>
              <w:rPr>
                <w:rFonts w:hint="eastAsia"/>
                <w:sz w:val="24"/>
              </w:rPr>
              <w:t>实施小金县入河排污口规范化建设、小金县四姑娘山片区农村生活污水治理改造提升、小金县饮用水水源地规范化建设改造提升项目</w:t>
            </w:r>
            <w:r>
              <w:rPr>
                <w:rFonts w:hint="eastAsia"/>
                <w:sz w:val="24"/>
                <w:lang w:eastAsia="zh-CN"/>
              </w:rPr>
              <w:t>、四姑娘山镇污水处理厂改扩建项目、八角镇集镇污水处理设施提升改造项目、宅垄镇集镇污水处理设施提升改造项目、“智水净污” 智慧污水一体化建设项目、小金县第二污水处理厂改建项目、小金县第四污水处理厂提质扩能建设项目</w:t>
            </w:r>
            <w:r>
              <w:rPr>
                <w:rFonts w:hint="eastAsia"/>
                <w:sz w:val="24"/>
              </w:rPr>
              <w:t>。</w:t>
            </w:r>
          </w:p>
        </w:tc>
      </w:tr>
      <w:tr w14:paraId="333E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5F222B7F">
            <w:pPr>
              <w:spacing w:line="400" w:lineRule="exact"/>
              <w:ind w:firstLine="482"/>
              <w:jc w:val="left"/>
              <w:rPr>
                <w:b/>
                <w:bCs/>
                <w:sz w:val="24"/>
              </w:rPr>
            </w:pPr>
            <w:r>
              <w:rPr>
                <w:b/>
                <w:bCs/>
                <w:sz w:val="24"/>
              </w:rPr>
              <w:t>（</w:t>
            </w:r>
            <w:r>
              <w:rPr>
                <w:rFonts w:hint="eastAsia"/>
                <w:b/>
                <w:bCs/>
                <w:sz w:val="24"/>
              </w:rPr>
              <w:t>二</w:t>
            </w:r>
            <w:r>
              <w:rPr>
                <w:b/>
                <w:bCs/>
                <w:sz w:val="24"/>
              </w:rPr>
              <w:t>）</w:t>
            </w:r>
            <w:r>
              <w:rPr>
                <w:rFonts w:hint="eastAsia"/>
                <w:b/>
                <w:bCs/>
                <w:sz w:val="24"/>
              </w:rPr>
              <w:t>城乡环境治理</w:t>
            </w:r>
            <w:r>
              <w:rPr>
                <w:b/>
                <w:bCs/>
                <w:sz w:val="24"/>
              </w:rPr>
              <w:t>工程</w:t>
            </w:r>
          </w:p>
          <w:p w14:paraId="0D9FD773">
            <w:pPr>
              <w:spacing w:line="400" w:lineRule="exact"/>
              <w:ind w:firstLine="480"/>
              <w:jc w:val="left"/>
              <w:rPr>
                <w:rFonts w:hint="eastAsia"/>
                <w:sz w:val="24"/>
              </w:rPr>
            </w:pPr>
            <w:r>
              <w:rPr>
                <w:rFonts w:hint="eastAsia"/>
                <w:sz w:val="24"/>
              </w:rPr>
              <w:t>（1）实施小金县生活垃圾综合处理厂维修工程</w:t>
            </w:r>
            <w:r>
              <w:rPr>
                <w:rFonts w:hint="eastAsia"/>
                <w:sz w:val="24"/>
                <w:lang w:eastAsia="zh-CN"/>
              </w:rPr>
              <w:t>、汗牛片区垃圾收集转运站建设项目、小金县再生资源回收中心建设项目</w:t>
            </w:r>
            <w:r>
              <w:rPr>
                <w:rFonts w:hint="eastAsia"/>
                <w:sz w:val="24"/>
              </w:rPr>
              <w:t>。</w:t>
            </w:r>
          </w:p>
          <w:p w14:paraId="3CEB8AF1">
            <w:pPr>
              <w:spacing w:line="400" w:lineRule="exact"/>
              <w:ind w:firstLine="480"/>
              <w:jc w:val="left"/>
              <w:rPr>
                <w:sz w:val="24"/>
              </w:rPr>
            </w:pPr>
            <w:r>
              <w:rPr>
                <w:rFonts w:hint="eastAsia"/>
                <w:sz w:val="24"/>
              </w:rPr>
              <w:t>（2）实施小金县农村生活收转运提升项目、小金县面源污染治理项目、沃日河片区农村生活污水治理提升改造项目、小金县畜禽养殖场粪污处理配套项目</w:t>
            </w:r>
            <w:r>
              <w:rPr>
                <w:rFonts w:hint="eastAsia"/>
                <w:sz w:val="24"/>
                <w:lang w:eastAsia="zh-CN"/>
              </w:rPr>
              <w:t>、小金县秸秆综合利用项目</w:t>
            </w:r>
            <w:r>
              <w:rPr>
                <w:rFonts w:hint="eastAsia"/>
                <w:sz w:val="24"/>
              </w:rPr>
              <w:t>。</w:t>
            </w:r>
          </w:p>
        </w:tc>
      </w:tr>
      <w:tr w14:paraId="1B4D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7010669E">
            <w:pPr>
              <w:spacing w:line="400" w:lineRule="exact"/>
              <w:ind w:firstLine="482"/>
              <w:rPr>
                <w:b/>
                <w:bCs/>
                <w:sz w:val="24"/>
              </w:rPr>
            </w:pPr>
            <w:r>
              <w:rPr>
                <w:b/>
                <w:bCs/>
                <w:sz w:val="24"/>
              </w:rPr>
              <w:t>（</w:t>
            </w:r>
            <w:r>
              <w:rPr>
                <w:rFonts w:hint="eastAsia"/>
                <w:b/>
                <w:bCs/>
                <w:sz w:val="24"/>
              </w:rPr>
              <w:t>三</w:t>
            </w:r>
            <w:r>
              <w:rPr>
                <w:b/>
                <w:bCs/>
                <w:sz w:val="24"/>
              </w:rPr>
              <w:t>）</w:t>
            </w:r>
            <w:r>
              <w:rPr>
                <w:rFonts w:hint="eastAsia"/>
                <w:b/>
                <w:bCs/>
                <w:sz w:val="24"/>
              </w:rPr>
              <w:t>环境监管能力提升工程</w:t>
            </w:r>
          </w:p>
          <w:p w14:paraId="403DBB74">
            <w:pPr>
              <w:spacing w:line="400" w:lineRule="exact"/>
              <w:ind w:firstLine="480"/>
              <w:rPr>
                <w:sz w:val="24"/>
              </w:rPr>
            </w:pPr>
            <w:r>
              <w:rPr>
                <w:rFonts w:hint="eastAsia"/>
                <w:sz w:val="24"/>
              </w:rPr>
              <w:t>改建阿坝州小金生态环境局环境监测站能力提升建设项目。</w:t>
            </w:r>
          </w:p>
        </w:tc>
      </w:tr>
    </w:tbl>
    <w:p w14:paraId="772996E0">
      <w:pPr>
        <w:spacing w:line="600" w:lineRule="exact"/>
        <w:ind w:firstLine="0" w:firstLineChars="0"/>
        <w:rPr>
          <w:rFonts w:eastAsia="方正小标宋简体"/>
          <w:bCs/>
          <w:kern w:val="44"/>
          <w:sz w:val="36"/>
          <w:szCs w:val="44"/>
        </w:rPr>
      </w:pPr>
      <w:r>
        <w:br w:type="page"/>
      </w:r>
    </w:p>
    <w:p w14:paraId="118DFF19">
      <w:pPr>
        <w:pStyle w:val="3"/>
        <w:spacing w:before="156" w:after="156"/>
      </w:pPr>
      <w:bookmarkStart w:id="110" w:name="_Toc206"/>
      <w:bookmarkStart w:id="111" w:name="_Toc15702"/>
      <w:bookmarkStart w:id="112" w:name="_Toc1379"/>
      <w:r>
        <w:rPr>
          <w:rFonts w:hint="eastAsia"/>
        </w:rPr>
        <w:t>第</w:t>
      </w:r>
      <w:r>
        <w:rPr>
          <w:rFonts w:hint="eastAsia"/>
          <w:lang w:val="en-US" w:eastAsia="zh-CN"/>
        </w:rPr>
        <w:t>六</w:t>
      </w:r>
      <w:r>
        <w:rPr>
          <w:rFonts w:hint="eastAsia"/>
        </w:rPr>
        <w:t>章</w:t>
      </w:r>
      <w:r>
        <w:rPr>
          <w:rFonts w:ascii="方正小标宋简体"/>
        </w:rPr>
        <w:t> </w:t>
      </w:r>
      <w:r>
        <w:rPr>
          <w:rFonts w:hint="eastAsia" w:ascii="方正小标宋简体"/>
        </w:rPr>
        <w:t>坚决</w:t>
      </w:r>
      <w:r>
        <w:rPr>
          <w:rFonts w:hint="eastAsia"/>
        </w:rPr>
        <w:t>守牢生态环境安全底线</w:t>
      </w:r>
      <w:bookmarkEnd w:id="110"/>
      <w:bookmarkEnd w:id="111"/>
      <w:bookmarkEnd w:id="112"/>
    </w:p>
    <w:p w14:paraId="0F800EF8">
      <w:pPr>
        <w:pStyle w:val="4"/>
        <w:spacing w:before="156" w:after="156"/>
      </w:pPr>
      <w:bookmarkStart w:id="113" w:name="_Toc10368"/>
      <w:bookmarkStart w:id="114" w:name="_Toc6868"/>
      <w:bookmarkStart w:id="115" w:name="_Toc21317"/>
      <w:r>
        <w:rPr>
          <w:rFonts w:hint="eastAsia"/>
        </w:rPr>
        <w:t>第一节</w:t>
      </w:r>
      <w:r>
        <w:rPr>
          <w:rFonts w:ascii="方正小标宋简体"/>
        </w:rPr>
        <w:t> </w:t>
      </w:r>
      <w:r>
        <w:rPr>
          <w:rFonts w:hint="eastAsia" w:ascii="方正小标宋简体"/>
          <w:lang w:val="en-US" w:eastAsia="zh-CN"/>
        </w:rPr>
        <w:t>提升小金</w:t>
      </w:r>
      <w:r>
        <w:rPr>
          <w:rFonts w:hint="eastAsia"/>
        </w:rPr>
        <w:t>气候</w:t>
      </w:r>
      <w:r>
        <w:rPr>
          <w:rFonts w:hint="eastAsia"/>
          <w:lang w:val="en-US" w:eastAsia="zh-CN"/>
        </w:rPr>
        <w:t>韧性</w:t>
      </w:r>
      <w:bookmarkEnd w:id="113"/>
      <w:bookmarkEnd w:id="114"/>
      <w:bookmarkEnd w:id="115"/>
    </w:p>
    <w:p w14:paraId="3ECAEC01">
      <w:pPr>
        <w:spacing w:line="600" w:lineRule="exact"/>
        <w:ind w:firstLine="643"/>
      </w:pPr>
      <w:r>
        <w:rPr>
          <w:rFonts w:hint="eastAsia"/>
          <w:b/>
          <w:bCs/>
        </w:rPr>
        <w:t>提升气候变化风险综合感知能力</w:t>
      </w:r>
      <w:r>
        <w:rPr>
          <w:rFonts w:hint="eastAsia"/>
        </w:rPr>
        <w:t>。构建气候环境立体感知体系，以四姑娘山、萨武雪山、结斯冰川、玛嘉沟冰川、霸王沟冰川等为重点，建立高原气象地面观测机制，提升气候环境观测水平。动态预估未来气候变化趋势，模拟气候变化下水文水资源变化以及对湿地面积、沼泽功能、水电开发、防汛防洪等的可能影响。</w:t>
      </w:r>
    </w:p>
    <w:p w14:paraId="09CCA6C7">
      <w:pPr>
        <w:spacing w:line="600" w:lineRule="exact"/>
        <w:ind w:firstLine="643"/>
      </w:pPr>
      <w:r>
        <w:rPr>
          <w:rFonts w:hint="eastAsia"/>
          <w:b/>
          <w:bCs/>
        </w:rPr>
        <w:t>增强重点领域气候韧性。</w:t>
      </w:r>
      <w:r>
        <w:rPr>
          <w:rFonts w:hint="eastAsia"/>
        </w:rPr>
        <w:t>落实《四川省适应气候变化行动方案》相关要求，稳步提升气候适应型发展能力。合理控制放牧活动规模和强度，建设防灾能力更强的牧草储备基地和保暖圈养设施。建立公路沿线灾害风险管理机制，加强防灾减灾工程建设，提升旅游交通线路互联性、安全性，打造气候适应型交通基础设施。推动雨污分流和污水管网建设改造，补齐城市供水、排水、污水、供热等基础设施短板，提升城市综合承载力。统筹城市防洪和内涝治理，因地制宜建设生态排水设施。加强重要冰川保护，减少人为活动干扰。</w:t>
      </w:r>
    </w:p>
    <w:p w14:paraId="0B26CD8E">
      <w:pPr>
        <w:pStyle w:val="4"/>
        <w:spacing w:before="156" w:after="156"/>
      </w:pPr>
      <w:bookmarkStart w:id="116" w:name="_Toc2183"/>
      <w:bookmarkStart w:id="117" w:name="_Toc3562"/>
      <w:bookmarkStart w:id="118" w:name="_Toc4969"/>
      <w:r>
        <w:rPr>
          <w:rFonts w:hint="eastAsia"/>
        </w:rPr>
        <w:t>第二节</w:t>
      </w:r>
      <w:r>
        <w:rPr>
          <w:rFonts w:ascii="方正小标宋简体"/>
        </w:rPr>
        <w:t> </w:t>
      </w:r>
      <w:r>
        <w:rPr>
          <w:rFonts w:hint="eastAsia"/>
        </w:rPr>
        <w:t>加强生物安全管理</w:t>
      </w:r>
      <w:bookmarkEnd w:id="116"/>
      <w:bookmarkEnd w:id="117"/>
      <w:bookmarkEnd w:id="118"/>
    </w:p>
    <w:p w14:paraId="6AA868F8">
      <w:pPr>
        <w:pStyle w:val="2"/>
        <w:spacing w:line="600" w:lineRule="exact"/>
        <w:ind w:left="0" w:leftChars="0" w:firstLine="643"/>
      </w:pPr>
      <w:r>
        <w:rPr>
          <w:rFonts w:hint="eastAsia"/>
          <w:b/>
          <w:bCs/>
        </w:rPr>
        <w:t>加强生物安全管控。</w:t>
      </w:r>
      <w:r>
        <w:rPr>
          <w:rFonts w:hint="eastAsia"/>
        </w:rPr>
        <w:t>完善林业草原有害生物防治监测预警、检疫御灾、防灾减灾、灾害应急、防治法规和科技支撑等六大体系建设。针对喜旱莲子草、凹头苋、白花鬼针等外来物种开展专项调查评估</w:t>
      </w:r>
      <w:r>
        <w:t>。</w:t>
      </w:r>
      <w:r>
        <w:rPr>
          <w:rFonts w:hint="eastAsia"/>
        </w:rPr>
        <w:t>强化草木樨、小蓬草、欧洲千里光、苏门白酒草等外来物种入侵防控。加强农田、果园等区域外来入侵物种治理，强化重点区域外来入侵物种的监管，重点做好草地贪夜蛾、红火蚁等重大危害种植业生产外来物种阻截防控。加强与野生动物救护机构和动植物保护机构合作，加强与野生动物救护机构和动植物保护机构合作，劝阻居民、游客非法放生等行为。</w:t>
      </w:r>
    </w:p>
    <w:p w14:paraId="59CFEEA0">
      <w:pPr>
        <w:pStyle w:val="4"/>
        <w:spacing w:before="156" w:after="156"/>
      </w:pPr>
      <w:bookmarkStart w:id="119" w:name="_Toc4576"/>
      <w:bookmarkStart w:id="120" w:name="_Toc10451"/>
      <w:bookmarkStart w:id="121" w:name="_Toc15948"/>
      <w:r>
        <w:rPr>
          <w:rFonts w:hint="eastAsia"/>
        </w:rPr>
        <w:t>第三节</w:t>
      </w:r>
      <w:r>
        <w:rPr>
          <w:rFonts w:ascii="方正小标宋简体"/>
        </w:rPr>
        <w:t> </w:t>
      </w:r>
      <w:r>
        <w:rPr>
          <w:rFonts w:hint="eastAsia"/>
        </w:rPr>
        <w:t>维护生态环境安全</w:t>
      </w:r>
      <w:bookmarkEnd w:id="119"/>
      <w:bookmarkEnd w:id="120"/>
      <w:bookmarkEnd w:id="121"/>
    </w:p>
    <w:p w14:paraId="1902459F">
      <w:pPr>
        <w:spacing w:line="600" w:lineRule="exact"/>
        <w:ind w:firstLine="643"/>
      </w:pPr>
      <w:r>
        <w:rPr>
          <w:rFonts w:hint="eastAsia"/>
          <w:b/>
          <w:bCs/>
        </w:rPr>
        <w:t>严控重点领域环境风险</w:t>
      </w:r>
      <w:r>
        <w:rPr>
          <w:rFonts w:hint="eastAsia"/>
        </w:rPr>
        <w:t>。坚持预防为主，加强环境风险常态化管理，实施环境安全隐患分类、分级管理。严格危险废物安全监管，落实危险废物档案制度、危险废物经营许可证制度、危险废物转移联单制度和危险废物全过程管理制度。加强医疗废物源头处理和管理。重点监管县医院等重点涉源单位，督促涉源单位落实辐射安全主体责任，提高辐射安全与防护水平。坚决推动地质灾害治理工程，坚持牢固树立“防范胜于救灾”和“四季防地灾”的理念，强化落实《地灾防治三年行动计划》，开展工程治理、排危除险和避险搬迁。强化集中式饮用水水源地等重点区域风险防控。深化突发环境事件应急预案管理，落实《小金县突发环境事件应急预案》，完备各专项应急工作方案。</w:t>
      </w:r>
    </w:p>
    <w:p w14:paraId="0735A1E8">
      <w:pPr>
        <w:spacing w:line="600" w:lineRule="exact"/>
        <w:ind w:firstLine="643"/>
      </w:pPr>
      <w:r>
        <w:rPr>
          <w:rFonts w:hint="eastAsia"/>
          <w:b/>
          <w:bCs/>
        </w:rPr>
        <w:t>强化生态环境健康管理。</w:t>
      </w:r>
      <w:r>
        <w:rPr>
          <w:rFonts w:hint="eastAsia"/>
        </w:rPr>
        <w:t>以饮用水水源地等为重点，开展生态环境健康监测调查、评估和管控。支持建设数智赋能的环境健康监测和风险评估综合平台。持续开展公民环境与健康素养提升活动，推动儿童活动空间健康生态环境建设，鼓励开展生态环境健康友好体验地建设。探索具有创新性、融合健康效应的生态环境健康价值核算方法。</w:t>
      </w:r>
    </w:p>
    <w:p w14:paraId="2F90FD26">
      <w:pPr>
        <w:autoSpaceDE w:val="0"/>
        <w:autoSpaceDN w:val="0"/>
        <w:snapToGrid w:val="0"/>
        <w:spacing w:line="600" w:lineRule="exact"/>
        <w:ind w:firstLine="0" w:firstLineChars="0"/>
        <w:jc w:val="center"/>
        <w:outlineLvl w:val="1"/>
        <w:rPr>
          <w:b/>
          <w:bCs/>
        </w:rPr>
      </w:pPr>
      <w:bookmarkStart w:id="122" w:name="_Toc28443"/>
      <w:bookmarkStart w:id="123" w:name="_Toc18914"/>
      <w:bookmarkStart w:id="124" w:name="_Toc25859"/>
      <w:bookmarkStart w:id="125" w:name="_Toc30460"/>
      <w:bookmarkStart w:id="126" w:name="_Toc171087394"/>
      <w:bookmarkStart w:id="127" w:name="_Toc19139"/>
      <w:r>
        <w:rPr>
          <w:b/>
          <w:bCs/>
        </w:rPr>
        <w:t>专栏</w:t>
      </w:r>
      <w:r>
        <w:rPr>
          <w:rFonts w:hint="eastAsia"/>
          <w:b/>
          <w:bCs/>
        </w:rPr>
        <w:t>五</w:t>
      </w:r>
      <w:r>
        <w:rPr>
          <w:b/>
          <w:bCs/>
        </w:rPr>
        <w:t xml:space="preserve">  </w:t>
      </w:r>
      <w:r>
        <w:rPr>
          <w:rFonts w:hint="eastAsia"/>
          <w:b/>
          <w:bCs/>
        </w:rPr>
        <w:t>生态环境安全</w:t>
      </w:r>
      <w:r>
        <w:rPr>
          <w:b/>
          <w:bCs/>
        </w:rPr>
        <w:t>重点项目</w:t>
      </w:r>
      <w:bookmarkEnd w:id="122"/>
      <w:bookmarkEnd w:id="123"/>
      <w:bookmarkEnd w:id="124"/>
      <w:bookmarkEnd w:id="125"/>
    </w:p>
    <w:tbl>
      <w:tblPr>
        <w:tblStyle w:val="26"/>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1"/>
      </w:tblGrid>
      <w:tr w14:paraId="4882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684C79A9">
            <w:pPr>
              <w:spacing w:line="400" w:lineRule="exact"/>
              <w:ind w:firstLine="482"/>
              <w:jc w:val="left"/>
              <w:rPr>
                <w:b/>
                <w:bCs/>
                <w:sz w:val="24"/>
              </w:rPr>
            </w:pPr>
            <w:r>
              <w:rPr>
                <w:b/>
                <w:bCs/>
                <w:sz w:val="24"/>
              </w:rPr>
              <w:t>（</w:t>
            </w:r>
            <w:r>
              <w:rPr>
                <w:rFonts w:hint="eastAsia"/>
                <w:b/>
                <w:bCs/>
                <w:sz w:val="24"/>
              </w:rPr>
              <w:t>一</w:t>
            </w:r>
            <w:r>
              <w:rPr>
                <w:b/>
                <w:bCs/>
                <w:sz w:val="24"/>
              </w:rPr>
              <w:t>）</w:t>
            </w:r>
            <w:r>
              <w:rPr>
                <w:rFonts w:hint="eastAsia"/>
                <w:b/>
                <w:bCs/>
                <w:sz w:val="24"/>
              </w:rPr>
              <w:t>灾害防治工程</w:t>
            </w:r>
          </w:p>
          <w:p w14:paraId="58E446F2">
            <w:pPr>
              <w:spacing w:line="400" w:lineRule="exact"/>
              <w:ind w:firstLine="480"/>
              <w:jc w:val="left"/>
              <w:rPr>
                <w:sz w:val="24"/>
              </w:rPr>
            </w:pPr>
            <w:r>
              <w:rPr>
                <w:rFonts w:hint="eastAsia"/>
                <w:sz w:val="24"/>
              </w:rPr>
              <w:t>实施小金县综合防灾能力建设项目。</w:t>
            </w:r>
          </w:p>
        </w:tc>
      </w:tr>
      <w:tr w14:paraId="31B6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51" w:type="dxa"/>
            <w:vAlign w:val="center"/>
          </w:tcPr>
          <w:p w14:paraId="57C46868">
            <w:pPr>
              <w:spacing w:line="400" w:lineRule="exact"/>
              <w:ind w:firstLine="482"/>
              <w:jc w:val="left"/>
              <w:rPr>
                <w:b/>
                <w:bCs/>
                <w:sz w:val="24"/>
              </w:rPr>
            </w:pPr>
            <w:r>
              <w:rPr>
                <w:rFonts w:hint="eastAsia"/>
                <w:b/>
                <w:bCs/>
                <w:sz w:val="24"/>
              </w:rPr>
              <w:t>（二）城市韧性提升工程</w:t>
            </w:r>
          </w:p>
          <w:p w14:paraId="24E64A21">
            <w:pPr>
              <w:spacing w:line="400" w:lineRule="exact"/>
              <w:ind w:firstLine="480"/>
              <w:jc w:val="left"/>
              <w:rPr>
                <w:sz w:val="24"/>
              </w:rPr>
            </w:pPr>
            <w:r>
              <w:rPr>
                <w:rFonts w:hint="eastAsia"/>
                <w:sz w:val="24"/>
              </w:rPr>
              <w:t>实施</w:t>
            </w:r>
            <w:r>
              <w:rPr>
                <w:sz w:val="24"/>
              </w:rPr>
              <w:t>小金供排水智慧提升项目</w:t>
            </w:r>
            <w:r>
              <w:rPr>
                <w:rFonts w:hint="eastAsia"/>
                <w:sz w:val="24"/>
              </w:rPr>
              <w:t>、小金县中心城区片区排水防涝能力提升工程等。</w:t>
            </w:r>
          </w:p>
        </w:tc>
      </w:tr>
    </w:tbl>
    <w:p w14:paraId="4637C6B5">
      <w:pPr>
        <w:widowControl/>
        <w:ind w:firstLine="0" w:firstLineChars="0"/>
        <w:jc w:val="left"/>
        <w:rPr>
          <w:rFonts w:eastAsia="方正小标宋简体"/>
          <w:bCs/>
          <w:kern w:val="44"/>
          <w:sz w:val="36"/>
          <w:szCs w:val="44"/>
        </w:rPr>
      </w:pPr>
    </w:p>
    <w:bookmarkEnd w:id="126"/>
    <w:bookmarkEnd w:id="127"/>
    <w:p w14:paraId="64CEEBC9">
      <w:pPr>
        <w:widowControl/>
        <w:ind w:firstLine="0" w:firstLineChars="0"/>
        <w:jc w:val="left"/>
        <w:rPr>
          <w:rFonts w:eastAsia="方正小标宋简体"/>
          <w:bCs/>
          <w:kern w:val="44"/>
          <w:sz w:val="36"/>
          <w:szCs w:val="44"/>
        </w:rPr>
      </w:pPr>
      <w:bookmarkStart w:id="128" w:name="_Toc171087397"/>
      <w:bookmarkStart w:id="129" w:name="_Toc11639"/>
      <w:r>
        <w:br w:type="page"/>
      </w:r>
    </w:p>
    <w:p w14:paraId="71387CA5">
      <w:pPr>
        <w:pStyle w:val="3"/>
        <w:spacing w:before="156" w:after="156"/>
      </w:pPr>
      <w:bookmarkStart w:id="130" w:name="_Toc21793"/>
      <w:bookmarkStart w:id="131" w:name="_Toc10866"/>
      <w:bookmarkStart w:id="132" w:name="_Toc29059"/>
      <w:r>
        <w:rPr>
          <w:rFonts w:hint="eastAsia"/>
        </w:rPr>
        <w:t>第</w:t>
      </w:r>
      <w:r>
        <w:rPr>
          <w:rFonts w:hint="eastAsia"/>
          <w:lang w:val="en-US" w:eastAsia="zh-CN"/>
        </w:rPr>
        <w:t>七</w:t>
      </w:r>
      <w:r>
        <w:rPr>
          <w:rFonts w:hint="eastAsia"/>
        </w:rPr>
        <w:t>章</w:t>
      </w:r>
      <w:r>
        <w:rPr>
          <w:rFonts w:ascii="方正小标宋简体"/>
        </w:rPr>
        <w:t> </w:t>
      </w:r>
      <w:r>
        <w:rPr>
          <w:rFonts w:hint="eastAsia" w:ascii="方正小标宋简体"/>
        </w:rPr>
        <w:t>健全生态环境保障</w:t>
      </w:r>
      <w:r>
        <w:rPr>
          <w:rFonts w:hint="eastAsia"/>
        </w:rPr>
        <w:t>体系</w:t>
      </w:r>
      <w:bookmarkEnd w:id="128"/>
      <w:bookmarkEnd w:id="129"/>
      <w:bookmarkEnd w:id="130"/>
      <w:bookmarkEnd w:id="131"/>
      <w:bookmarkEnd w:id="132"/>
    </w:p>
    <w:p w14:paraId="1F12C519">
      <w:pPr>
        <w:pStyle w:val="4"/>
        <w:spacing w:before="156" w:after="156"/>
      </w:pPr>
      <w:bookmarkStart w:id="133" w:name="_Toc19285"/>
      <w:bookmarkStart w:id="134" w:name="_Toc24140"/>
      <w:bookmarkStart w:id="135" w:name="_Toc19928"/>
      <w:r>
        <w:rPr>
          <w:rFonts w:hint="eastAsia"/>
        </w:rPr>
        <w:t>第一节</w:t>
      </w:r>
      <w:r>
        <w:rPr>
          <w:rFonts w:ascii="方正小标宋简体"/>
        </w:rPr>
        <w:t> </w:t>
      </w:r>
      <w:r>
        <w:rPr>
          <w:rFonts w:hint="eastAsia"/>
        </w:rPr>
        <w:t>健全生态环境治理体系</w:t>
      </w:r>
      <w:bookmarkEnd w:id="133"/>
      <w:bookmarkEnd w:id="134"/>
      <w:bookmarkEnd w:id="135"/>
    </w:p>
    <w:p w14:paraId="2E200D00">
      <w:pPr>
        <w:spacing w:line="600" w:lineRule="exact"/>
        <w:ind w:firstLine="640"/>
        <w:rPr>
          <w:szCs w:val="32"/>
        </w:rPr>
      </w:pPr>
      <w:r>
        <w:rPr>
          <w:rFonts w:hint="eastAsia"/>
        </w:rPr>
        <w:t>进一步压实行业部门生态环境保护责任，构建党委领导、政府主导、企业主体、社会组织和公众共同参与的现代环境治理体系。推动《生态环境法典》宣贯落地。完善部门区域联动机制，持续深入推进生态环境保护督察问题整改。深化环境准入制度改革，积极探索严格执行空间、总量、项目“三位一体”和专家、公众“两评结合”的新型环境准入制度。深化环境影响评价制度，将环境影响评价从项目层次提升到决策层次。</w:t>
      </w:r>
      <w:r>
        <w:rPr>
          <w:rFonts w:hint="eastAsia"/>
          <w:szCs w:val="32"/>
        </w:rPr>
        <w:t>发挥企业主体作用，加强企业环境信息公开，督促引导企业落实生态环境保护主体责任及绿色发展主体责任。</w:t>
      </w:r>
    </w:p>
    <w:p w14:paraId="1E9F8654">
      <w:pPr>
        <w:pStyle w:val="4"/>
        <w:spacing w:before="156" w:after="156"/>
      </w:pPr>
      <w:bookmarkStart w:id="136" w:name="_Toc13371"/>
      <w:bookmarkStart w:id="137" w:name="_Toc9291"/>
      <w:bookmarkStart w:id="138" w:name="_Toc31509"/>
      <w:r>
        <w:rPr>
          <w:rFonts w:hint="eastAsia"/>
        </w:rPr>
        <w:t>第二节</w:t>
      </w:r>
      <w:r>
        <w:rPr>
          <w:rFonts w:ascii="方正小标宋简体"/>
        </w:rPr>
        <w:t> </w:t>
      </w:r>
      <w:r>
        <w:rPr>
          <w:rFonts w:hint="eastAsia"/>
        </w:rPr>
        <w:t>强化市场机制激励引导</w:t>
      </w:r>
      <w:bookmarkEnd w:id="136"/>
      <w:bookmarkEnd w:id="137"/>
      <w:bookmarkEnd w:id="138"/>
    </w:p>
    <w:p w14:paraId="68F1095F">
      <w:pPr>
        <w:spacing w:line="600" w:lineRule="exact"/>
        <w:ind w:firstLine="640"/>
        <w:rPr>
          <w:rFonts w:ascii="仿宋_GB2312" w:cs="仿宋_GB2312"/>
          <w:color w:val="000000"/>
          <w:kern w:val="0"/>
          <w:szCs w:val="28"/>
        </w:rPr>
      </w:pPr>
      <w:r>
        <w:rPr>
          <w:rFonts w:hint="eastAsia" w:ascii="仿宋_GB2312" w:cs="仿宋_GB2312"/>
          <w:color w:val="000000"/>
          <w:kern w:val="0"/>
          <w:szCs w:val="28"/>
        </w:rPr>
        <w:t>落实国、省、州关于</w:t>
      </w:r>
      <w:r>
        <w:rPr>
          <w:color w:val="000000"/>
          <w:kern w:val="0"/>
          <w:szCs w:val="28"/>
        </w:rPr>
        <w:t>污水、工业固废、生活垃圾</w:t>
      </w:r>
      <w:r>
        <w:rPr>
          <w:rFonts w:hint="eastAsia"/>
          <w:color w:val="000000"/>
          <w:kern w:val="0"/>
          <w:szCs w:val="28"/>
        </w:rPr>
        <w:t>等差异化</w:t>
      </w:r>
      <w:r>
        <w:rPr>
          <w:color w:val="000000"/>
          <w:kern w:val="0"/>
          <w:szCs w:val="28"/>
        </w:rPr>
        <w:t>收费</w:t>
      </w:r>
      <w:r>
        <w:rPr>
          <w:rFonts w:hint="eastAsia"/>
          <w:color w:val="000000"/>
          <w:kern w:val="0"/>
          <w:szCs w:val="28"/>
        </w:rPr>
        <w:t>政策机制</w:t>
      </w:r>
      <w:r>
        <w:rPr>
          <w:color w:val="000000"/>
          <w:kern w:val="0"/>
          <w:szCs w:val="28"/>
        </w:rPr>
        <w:t>。</w:t>
      </w:r>
      <w:r>
        <w:rPr>
          <w:rFonts w:hint="eastAsia"/>
          <w:color w:val="000000"/>
          <w:kern w:val="0"/>
          <w:szCs w:val="28"/>
        </w:rPr>
        <w:t>落实</w:t>
      </w:r>
      <w:r>
        <w:rPr>
          <w:rFonts w:hint="eastAsia" w:ascii="仿宋_GB2312" w:cs="仿宋_GB2312"/>
          <w:color w:val="000000"/>
          <w:kern w:val="0"/>
          <w:szCs w:val="28"/>
        </w:rPr>
        <w:t>金融、税收等支持激励政策，深化“放管服”改革，加大各类资本参与投资、建设和运营环境治理和生态保护的吸引力度，引导形成规范开放的市场。</w:t>
      </w:r>
      <w:r>
        <w:rPr>
          <w:rFonts w:hint="eastAsia"/>
          <w:color w:val="000000"/>
          <w:kern w:val="0"/>
          <w:szCs w:val="28"/>
        </w:rPr>
        <w:t>鼓励企业</w:t>
      </w:r>
      <w:r>
        <w:rPr>
          <w:rFonts w:hint="eastAsia" w:ascii="仿宋_GB2312" w:cs="仿宋_GB2312"/>
          <w:color w:val="000000"/>
          <w:kern w:val="0"/>
          <w:szCs w:val="28"/>
        </w:rPr>
        <w:t>积极参与水权、用能权、排污权等交易</w:t>
      </w:r>
      <w:r>
        <w:rPr>
          <w:color w:val="000000"/>
          <w:kern w:val="0"/>
          <w:szCs w:val="28"/>
        </w:rPr>
        <w:t>。</w:t>
      </w:r>
      <w:r>
        <w:rPr>
          <w:rFonts w:hint="eastAsia"/>
          <w:color w:val="000000"/>
          <w:kern w:val="0"/>
          <w:szCs w:val="28"/>
        </w:rPr>
        <w:t>培育专业化骨干企业，扶持专特优精中小企业， 推动环境治理向“市场化、专业化、产业化”发展。持续引进第三方单位参与污水处理厂、垃圾焚烧厂等环境基础设施建设运营。</w:t>
      </w:r>
    </w:p>
    <w:p w14:paraId="02017EF2">
      <w:pPr>
        <w:pStyle w:val="4"/>
        <w:spacing w:before="156" w:after="156"/>
      </w:pPr>
      <w:bookmarkStart w:id="139" w:name="_Toc26155"/>
      <w:bookmarkStart w:id="140" w:name="_Toc12557"/>
      <w:bookmarkStart w:id="141" w:name="_Toc9259"/>
      <w:r>
        <w:rPr>
          <w:rFonts w:hint="eastAsia"/>
        </w:rPr>
        <w:t>第三节</w:t>
      </w:r>
      <w:r>
        <w:rPr>
          <w:rFonts w:ascii="方正小标宋简体"/>
        </w:rPr>
        <w:t> </w:t>
      </w:r>
      <w:r>
        <w:rPr>
          <w:rFonts w:hint="eastAsia" w:ascii="方正小标宋简体"/>
        </w:rPr>
        <w:t>优化生态环境监测网络</w:t>
      </w:r>
      <w:bookmarkEnd w:id="139"/>
      <w:bookmarkEnd w:id="140"/>
      <w:bookmarkEnd w:id="141"/>
    </w:p>
    <w:p w14:paraId="0E6FBFF1">
      <w:pPr>
        <w:spacing w:line="580" w:lineRule="exact"/>
        <w:ind w:firstLine="640"/>
        <w:rPr>
          <w:szCs w:val="28"/>
        </w:rPr>
      </w:pPr>
      <w:r>
        <w:rPr>
          <w:rFonts w:hint="eastAsia"/>
          <w:szCs w:val="32"/>
        </w:rPr>
        <w:t>深度融入全州“1+3+13”生态环境监测体系，完善县、乡（镇）、村（社区）三级环保网格监管体系，实施环境监管网格化、全覆盖管理。依托阿坝州监测能力提升三年行动计划实施契机，推进小金县环境监测站实验室升级改造，有序组织监测人员学习培训，全面提升监测队伍的专业技术能力。</w:t>
      </w:r>
      <w:r>
        <w:rPr>
          <w:rFonts w:hint="eastAsia" w:ascii="仿宋_GB2312" w:cs="仿宋_GB2312"/>
          <w:color w:val="000000"/>
          <w:kern w:val="0"/>
          <w:szCs w:val="28"/>
        </w:rPr>
        <w:t>构建生态环境保护数字化治理体系，</w:t>
      </w:r>
      <w:r>
        <w:rPr>
          <w:rFonts w:hint="eastAsia"/>
        </w:rPr>
        <w:t>利用大数据、区块链等新技术，</w:t>
      </w:r>
      <w:r>
        <w:rPr>
          <w:rFonts w:hint="eastAsia" w:ascii="仿宋_GB2312" w:cs="仿宋_GB2312"/>
          <w:color w:val="000000"/>
          <w:kern w:val="0"/>
          <w:szCs w:val="28"/>
        </w:rPr>
        <w:t>完善生态环境监测网络，推动AI赋能生态环境监测，探索建立人工智能驱动的监测预测、模拟推演等应用，构建“人工智能+生态环境”创新应用体系，提升生态环境监测和质量预测能力</w:t>
      </w:r>
      <w:r>
        <w:rPr>
          <w:rFonts w:hint="eastAsia"/>
          <w:szCs w:val="28"/>
        </w:rPr>
        <w:t>。</w:t>
      </w:r>
    </w:p>
    <w:p w14:paraId="7023329A">
      <w:pPr>
        <w:pStyle w:val="4"/>
        <w:spacing w:before="156" w:after="156"/>
      </w:pPr>
      <w:bookmarkStart w:id="142" w:name="_Toc8998"/>
      <w:bookmarkStart w:id="143" w:name="_Toc24980"/>
      <w:bookmarkStart w:id="144" w:name="_Toc27796"/>
      <w:r>
        <w:rPr>
          <w:rFonts w:hint="eastAsia"/>
        </w:rPr>
        <w:t>第四节   强化综合执法能力</w:t>
      </w:r>
      <w:bookmarkEnd w:id="142"/>
      <w:bookmarkEnd w:id="143"/>
      <w:bookmarkEnd w:id="144"/>
    </w:p>
    <w:p w14:paraId="11593BAE">
      <w:pPr>
        <w:spacing w:line="600" w:lineRule="exact"/>
        <w:ind w:firstLine="640"/>
        <w:rPr>
          <w:szCs w:val="32"/>
        </w:rPr>
      </w:pPr>
      <w:r>
        <w:rPr>
          <w:rFonts w:hint="eastAsia"/>
          <w:szCs w:val="32"/>
        </w:rPr>
        <w:t>强化综合行政执法职能，实施“双随机、一公开”环境监管模式，完善跨部门环保协调机制，建立权威统一的生态环境执法体系，推进联合执法、区域执法、交叉执法，统筹推进“四不两直”夜间突击检查，对小金河流域沿线重点点位开展“拉网式”排查。深度参与全州片区综合执法联动，围绕生态下泄流量、渗滤液处理、施工扬尘等重点监管领域精准发力。加快推动执法模式从传统“人防”向现代化“技防”转型，更新配备无人机等先进技术装备，建立“线上监测预警+线下精准核查”联动机制，提升生态环境保护管理信息化、数字化、智能化水平。</w:t>
      </w:r>
    </w:p>
    <w:p w14:paraId="27532DE5">
      <w:pPr>
        <w:pStyle w:val="4"/>
        <w:spacing w:before="156" w:after="156"/>
      </w:pPr>
      <w:bookmarkStart w:id="145" w:name="_Toc30282"/>
      <w:bookmarkStart w:id="146" w:name="_Toc16988"/>
      <w:bookmarkStart w:id="147" w:name="_Toc27051"/>
      <w:r>
        <w:rPr>
          <w:rFonts w:hint="eastAsia"/>
        </w:rPr>
        <w:t>第五节</w:t>
      </w:r>
      <w:r>
        <w:rPr>
          <w:rFonts w:ascii="方正小标宋简体"/>
        </w:rPr>
        <w:t> </w:t>
      </w:r>
      <w:r>
        <w:rPr>
          <w:rFonts w:hint="eastAsia"/>
        </w:rPr>
        <w:t>加强科技人才培养</w:t>
      </w:r>
      <w:bookmarkEnd w:id="145"/>
      <w:bookmarkEnd w:id="146"/>
      <w:bookmarkEnd w:id="147"/>
    </w:p>
    <w:p w14:paraId="3D14800F">
      <w:pPr>
        <w:spacing w:line="600" w:lineRule="exact"/>
        <w:ind w:firstLine="640"/>
        <w:rPr>
          <w:szCs w:val="32"/>
        </w:rPr>
      </w:pPr>
      <w:r>
        <w:rPr>
          <w:rFonts w:hint="eastAsia"/>
          <w:szCs w:val="32"/>
        </w:rPr>
        <w:t>促进区域开放合作，加强驻点科技帮扶。在清洁生产、生态环境保护、资源综合利用与废物资源化等方面，积极开发、引进和推广应用各类新技术、新工艺、新产品。引进和培养一批在国内具有一定影响力的环保科技专家及各专业领域的学术或技术带头人，推动高级环境科技人才队伍建设。持续深入开展习近平生态文明思想等理论学习教育，开设“生态文明建设”“生态+”“美丽乡村建设”“全域旅游及乡村旅游”“绿色发展”等教学内容，不断提高专业人员的业务水平。</w:t>
      </w:r>
    </w:p>
    <w:p w14:paraId="56819F6E">
      <w:pPr>
        <w:ind w:firstLine="640"/>
        <w:rPr>
          <w:szCs w:val="32"/>
        </w:rPr>
      </w:pPr>
      <w:r>
        <w:rPr>
          <w:rFonts w:hint="eastAsia"/>
          <w:szCs w:val="32"/>
        </w:rPr>
        <w:br w:type="page"/>
      </w:r>
    </w:p>
    <w:p w14:paraId="45CE32F3">
      <w:pPr>
        <w:pStyle w:val="2"/>
        <w:ind w:left="640" w:firstLine="640"/>
        <w:sectPr>
          <w:pgSz w:w="11906" w:h="16838"/>
          <w:pgMar w:top="1440" w:right="1800" w:bottom="1440" w:left="1800" w:header="851" w:footer="992" w:gutter="0"/>
          <w:pgNumType w:start="1"/>
          <w:cols w:space="720" w:num="1"/>
          <w:docGrid w:type="lines" w:linePitch="312" w:charSpace="0"/>
        </w:sectPr>
      </w:pPr>
    </w:p>
    <w:p w14:paraId="12857503">
      <w:pPr>
        <w:pStyle w:val="3"/>
        <w:spacing w:before="156" w:after="156"/>
      </w:pPr>
      <w:bookmarkStart w:id="148" w:name="_Toc19939"/>
      <w:bookmarkStart w:id="149" w:name="_Toc11400"/>
      <w:bookmarkStart w:id="150" w:name="_Toc3311"/>
      <w:r>
        <w:rPr>
          <w:rFonts w:hint="eastAsia"/>
        </w:rPr>
        <w:t>附件：重点项目</w:t>
      </w:r>
      <w:bookmarkEnd w:id="148"/>
      <w:bookmarkEnd w:id="149"/>
      <w:bookmarkEnd w:id="150"/>
    </w:p>
    <w:p w14:paraId="24E6BAAD">
      <w:pPr>
        <w:ind w:firstLine="420"/>
        <w:jc w:val="center"/>
        <w:rPr>
          <w:rFonts w:ascii="黑体" w:hAnsi="黑体" w:eastAsia="黑体"/>
          <w:sz w:val="21"/>
          <w:szCs w:val="21"/>
        </w:rPr>
      </w:pPr>
      <w:r>
        <w:rPr>
          <w:rFonts w:hint="eastAsia" w:ascii="黑体" w:hAnsi="黑体" w:eastAsia="黑体"/>
          <w:color w:val="000000"/>
          <w:sz w:val="21"/>
          <w:szCs w:val="21"/>
        </w:rPr>
        <w:t>表2</w:t>
      </w:r>
      <w:r>
        <w:rPr>
          <w:rFonts w:ascii="方正小标宋简体"/>
          <w:sz w:val="21"/>
          <w:szCs w:val="21"/>
        </w:rPr>
        <w:t> </w:t>
      </w:r>
      <w:r>
        <w:rPr>
          <w:rFonts w:hint="eastAsia" w:ascii="黑体" w:hAnsi="黑体" w:eastAsia="黑体"/>
          <w:color w:val="000000"/>
          <w:sz w:val="21"/>
          <w:szCs w:val="21"/>
        </w:rPr>
        <w:t>小金县“十五五”生态环境保护规划重点项目表</w:t>
      </w:r>
    </w:p>
    <w:tbl>
      <w:tblPr>
        <w:tblStyle w:val="26"/>
        <w:tblW w:w="14174" w:type="dxa"/>
        <w:jc w:val="center"/>
        <w:tblLayout w:type="fixed"/>
        <w:tblCellMar>
          <w:top w:w="32" w:type="dxa"/>
          <w:left w:w="64" w:type="dxa"/>
          <w:bottom w:w="32" w:type="dxa"/>
          <w:right w:w="64" w:type="dxa"/>
        </w:tblCellMar>
      </w:tblPr>
      <w:tblGrid>
        <w:gridCol w:w="626"/>
        <w:gridCol w:w="1900"/>
        <w:gridCol w:w="7717"/>
        <w:gridCol w:w="1413"/>
        <w:gridCol w:w="1274"/>
        <w:gridCol w:w="1244"/>
      </w:tblGrid>
      <w:tr w14:paraId="4A4D6F5C">
        <w:tblPrEx>
          <w:tblCellMar>
            <w:top w:w="32" w:type="dxa"/>
            <w:left w:w="64" w:type="dxa"/>
            <w:bottom w:w="32" w:type="dxa"/>
            <w:right w:w="64" w:type="dxa"/>
          </w:tblCellMar>
        </w:tblPrEx>
        <w:trPr>
          <w:cantSplit/>
          <w:tblHeader/>
          <w:jc w:val="center"/>
        </w:trPr>
        <w:tc>
          <w:tcPr>
            <w:tcW w:w="626" w:type="dxa"/>
            <w:tcBorders>
              <w:top w:val="single" w:color="auto" w:sz="12" w:space="0"/>
              <w:left w:val="single" w:color="auto" w:sz="12" w:space="0"/>
              <w:bottom w:val="single" w:color="auto" w:sz="4" w:space="0"/>
              <w:right w:val="single" w:color="auto" w:sz="4" w:space="0"/>
            </w:tcBorders>
            <w:shd w:val="clear" w:color="auto" w:fill="auto"/>
            <w:noWrap/>
            <w:vAlign w:val="center"/>
          </w:tcPr>
          <w:p w14:paraId="4294365F">
            <w:pPr>
              <w:widowControl/>
              <w:snapToGrid w:val="0"/>
              <w:ind w:firstLine="0" w:firstLineChars="0"/>
              <w:jc w:val="center"/>
              <w:textAlignment w:val="center"/>
              <w:rPr>
                <w:rFonts w:ascii="宋体" w:eastAsia="宋体" w:cs="宋体"/>
                <w:b/>
                <w:bCs/>
                <w:sz w:val="21"/>
                <w:szCs w:val="21"/>
              </w:rPr>
            </w:pPr>
            <w:r>
              <w:rPr>
                <w:rFonts w:hint="eastAsia" w:ascii="宋体" w:eastAsia="宋体" w:cs="宋体"/>
                <w:b/>
                <w:bCs/>
                <w:kern w:val="0"/>
                <w:sz w:val="21"/>
                <w:szCs w:val="21"/>
              </w:rPr>
              <w:t>序号</w:t>
            </w:r>
          </w:p>
        </w:tc>
        <w:tc>
          <w:tcPr>
            <w:tcW w:w="1900" w:type="dxa"/>
            <w:tcBorders>
              <w:top w:val="single" w:color="auto" w:sz="12" w:space="0"/>
              <w:left w:val="single" w:color="auto" w:sz="4" w:space="0"/>
              <w:bottom w:val="single" w:color="auto" w:sz="4" w:space="0"/>
              <w:right w:val="single" w:color="auto" w:sz="4" w:space="0"/>
            </w:tcBorders>
            <w:shd w:val="clear" w:color="auto" w:fill="auto"/>
            <w:noWrap/>
            <w:vAlign w:val="center"/>
          </w:tcPr>
          <w:p w14:paraId="4AF6A4D7">
            <w:pPr>
              <w:widowControl/>
              <w:snapToGrid w:val="0"/>
              <w:ind w:firstLine="0" w:firstLineChars="0"/>
              <w:jc w:val="center"/>
              <w:textAlignment w:val="center"/>
              <w:rPr>
                <w:rFonts w:ascii="宋体" w:eastAsia="宋体" w:cs="宋体"/>
                <w:b/>
                <w:bCs/>
                <w:sz w:val="21"/>
                <w:szCs w:val="21"/>
              </w:rPr>
            </w:pPr>
            <w:r>
              <w:rPr>
                <w:rFonts w:hint="eastAsia" w:ascii="宋体" w:eastAsia="宋体" w:cs="宋体"/>
                <w:b/>
                <w:bCs/>
                <w:kern w:val="0"/>
                <w:sz w:val="21"/>
                <w:szCs w:val="21"/>
              </w:rPr>
              <w:t>项目名称</w:t>
            </w:r>
          </w:p>
        </w:tc>
        <w:tc>
          <w:tcPr>
            <w:tcW w:w="7717" w:type="dxa"/>
            <w:tcBorders>
              <w:top w:val="single" w:color="auto" w:sz="12" w:space="0"/>
              <w:left w:val="single" w:color="auto" w:sz="4" w:space="0"/>
              <w:bottom w:val="single" w:color="auto" w:sz="4" w:space="0"/>
              <w:right w:val="single" w:color="auto" w:sz="4" w:space="0"/>
            </w:tcBorders>
            <w:shd w:val="clear" w:color="auto" w:fill="auto"/>
            <w:noWrap/>
            <w:vAlign w:val="center"/>
          </w:tcPr>
          <w:p w14:paraId="731EAD23">
            <w:pPr>
              <w:widowControl/>
              <w:snapToGrid w:val="0"/>
              <w:ind w:firstLine="0" w:firstLineChars="0"/>
              <w:jc w:val="center"/>
              <w:textAlignment w:val="center"/>
              <w:rPr>
                <w:rFonts w:ascii="宋体" w:eastAsia="宋体" w:cs="宋体"/>
                <w:b/>
                <w:bCs/>
                <w:sz w:val="21"/>
                <w:szCs w:val="21"/>
              </w:rPr>
            </w:pPr>
            <w:r>
              <w:rPr>
                <w:rFonts w:hint="eastAsia" w:ascii="宋体" w:eastAsia="宋体" w:cs="宋体"/>
                <w:b/>
                <w:bCs/>
                <w:kern w:val="0"/>
                <w:sz w:val="21"/>
                <w:szCs w:val="21"/>
              </w:rPr>
              <w:t>主要内容</w:t>
            </w:r>
          </w:p>
        </w:tc>
        <w:tc>
          <w:tcPr>
            <w:tcW w:w="1413" w:type="dxa"/>
            <w:tcBorders>
              <w:top w:val="single" w:color="auto" w:sz="12" w:space="0"/>
              <w:left w:val="single" w:color="auto" w:sz="4" w:space="0"/>
              <w:bottom w:val="single" w:color="auto" w:sz="4" w:space="0"/>
              <w:right w:val="single" w:color="auto" w:sz="4" w:space="0"/>
            </w:tcBorders>
            <w:shd w:val="clear" w:color="auto" w:fill="auto"/>
            <w:noWrap/>
            <w:vAlign w:val="center"/>
          </w:tcPr>
          <w:p w14:paraId="7AE4FA2B">
            <w:pPr>
              <w:widowControl/>
              <w:snapToGrid w:val="0"/>
              <w:ind w:firstLine="0" w:firstLineChars="0"/>
              <w:jc w:val="center"/>
              <w:textAlignment w:val="center"/>
              <w:rPr>
                <w:rFonts w:ascii="宋体" w:eastAsia="宋体" w:cs="宋体"/>
                <w:b/>
                <w:bCs/>
                <w:kern w:val="0"/>
                <w:sz w:val="21"/>
                <w:szCs w:val="21"/>
              </w:rPr>
            </w:pPr>
            <w:r>
              <w:rPr>
                <w:rFonts w:hint="eastAsia" w:ascii="宋体" w:eastAsia="宋体" w:cs="宋体"/>
                <w:b/>
                <w:bCs/>
                <w:kern w:val="0"/>
                <w:sz w:val="21"/>
                <w:szCs w:val="21"/>
              </w:rPr>
              <w:t>建设地点</w:t>
            </w:r>
          </w:p>
        </w:tc>
        <w:tc>
          <w:tcPr>
            <w:tcW w:w="1274" w:type="dxa"/>
            <w:tcBorders>
              <w:top w:val="single" w:color="auto" w:sz="12" w:space="0"/>
              <w:left w:val="single" w:color="auto" w:sz="4" w:space="0"/>
              <w:bottom w:val="single" w:color="auto" w:sz="4" w:space="0"/>
              <w:right w:val="single" w:color="auto" w:sz="4" w:space="0"/>
            </w:tcBorders>
            <w:shd w:val="clear" w:color="auto" w:fill="auto"/>
            <w:noWrap/>
            <w:vAlign w:val="center"/>
          </w:tcPr>
          <w:p w14:paraId="3D5E3789">
            <w:pPr>
              <w:widowControl/>
              <w:snapToGrid w:val="0"/>
              <w:ind w:firstLine="0" w:firstLineChars="0"/>
              <w:jc w:val="center"/>
              <w:textAlignment w:val="center"/>
              <w:rPr>
                <w:rFonts w:ascii="宋体" w:eastAsia="宋体" w:cs="宋体"/>
                <w:b/>
                <w:bCs/>
                <w:kern w:val="0"/>
                <w:sz w:val="21"/>
                <w:szCs w:val="21"/>
              </w:rPr>
            </w:pPr>
            <w:r>
              <w:rPr>
                <w:rFonts w:hint="eastAsia" w:ascii="宋体" w:eastAsia="宋体" w:cs="宋体"/>
                <w:b/>
                <w:bCs/>
                <w:kern w:val="0"/>
                <w:sz w:val="21"/>
                <w:szCs w:val="21"/>
              </w:rPr>
              <w:t>建设周期</w:t>
            </w:r>
          </w:p>
        </w:tc>
        <w:tc>
          <w:tcPr>
            <w:tcW w:w="1244" w:type="dxa"/>
            <w:tcBorders>
              <w:top w:val="single" w:color="auto" w:sz="12" w:space="0"/>
              <w:left w:val="single" w:color="auto" w:sz="4" w:space="0"/>
              <w:bottom w:val="single" w:color="auto" w:sz="4" w:space="0"/>
              <w:right w:val="single" w:color="auto" w:sz="12" w:space="0"/>
            </w:tcBorders>
            <w:shd w:val="clear" w:color="auto" w:fill="auto"/>
            <w:noWrap/>
            <w:vAlign w:val="center"/>
          </w:tcPr>
          <w:p w14:paraId="62855C9B">
            <w:pPr>
              <w:widowControl/>
              <w:snapToGrid w:val="0"/>
              <w:ind w:firstLine="0" w:firstLineChars="0"/>
              <w:jc w:val="center"/>
              <w:textAlignment w:val="center"/>
              <w:rPr>
                <w:rFonts w:ascii="宋体" w:eastAsia="宋体" w:cs="宋体"/>
                <w:b/>
                <w:bCs/>
                <w:kern w:val="0"/>
                <w:sz w:val="21"/>
                <w:szCs w:val="21"/>
              </w:rPr>
            </w:pPr>
            <w:r>
              <w:rPr>
                <w:rFonts w:hint="eastAsia" w:ascii="宋体" w:eastAsia="宋体" w:cs="宋体"/>
                <w:b/>
                <w:bCs/>
                <w:kern w:val="0"/>
                <w:sz w:val="21"/>
                <w:szCs w:val="21"/>
              </w:rPr>
              <w:t>估算总投资</w:t>
            </w:r>
          </w:p>
          <w:p w14:paraId="313E9E58">
            <w:pPr>
              <w:widowControl/>
              <w:snapToGrid w:val="0"/>
              <w:ind w:firstLine="0" w:firstLineChars="0"/>
              <w:jc w:val="center"/>
              <w:textAlignment w:val="center"/>
              <w:rPr>
                <w:rFonts w:ascii="宋体" w:eastAsia="宋体" w:cs="宋体"/>
                <w:b/>
                <w:bCs/>
                <w:kern w:val="0"/>
                <w:sz w:val="21"/>
                <w:szCs w:val="21"/>
              </w:rPr>
            </w:pPr>
            <w:r>
              <w:rPr>
                <w:rFonts w:hint="eastAsia" w:ascii="宋体" w:eastAsia="宋体" w:cs="宋体"/>
                <w:b/>
                <w:bCs/>
                <w:kern w:val="0"/>
                <w:sz w:val="21"/>
                <w:szCs w:val="21"/>
              </w:rPr>
              <w:t>（万元）</w:t>
            </w:r>
          </w:p>
        </w:tc>
      </w:tr>
      <w:tr w14:paraId="23ED2CDA">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7B5EAA6">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F7AE0F">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小金县四姑娘山镇水生态综合治理项目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DD416E">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综合考虑流域区域水生态重要性、水生态问题严峻形势等方面，湖泊河道萎缩、生态功能显著降低等流域区域，生态护岸工程7.62km，河岸带治理0.15k㎡，河道地貌修复工程0.375k㎡，水土保持沟道治理4.41km。</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3D37C">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四姑娘山镇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4EA33">
            <w:pPr>
              <w:widowControl/>
              <w:snapToGrid w:val="0"/>
              <w:ind w:firstLine="0" w:firstLineChars="0"/>
              <w:jc w:val="center"/>
              <w:textAlignment w:val="center"/>
              <w:rPr>
                <w:rStyle w:val="43"/>
                <w:rFonts w:ascii="宋体" w:eastAsia="宋体" w:cs="宋体"/>
                <w:color w:val="auto"/>
                <w:sz w:val="21"/>
                <w:szCs w:val="21"/>
              </w:rPr>
            </w:pPr>
            <w:r>
              <w:rPr>
                <w:rStyle w:val="43"/>
                <w:rFonts w:hint="eastAsia" w:ascii="宋体" w:eastAsia="宋体" w:cs="宋体"/>
                <w:color w:val="auto"/>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049A28A">
            <w:pPr>
              <w:widowControl/>
              <w:snapToGrid w:val="0"/>
              <w:ind w:firstLine="0" w:firstLineChars="0"/>
              <w:jc w:val="center"/>
              <w:textAlignment w:val="center"/>
              <w:rPr>
                <w:rFonts w:ascii="宋体" w:eastAsia="宋体" w:cs="宋体"/>
                <w:sz w:val="21"/>
                <w:szCs w:val="21"/>
              </w:rPr>
            </w:pPr>
            <w:r>
              <w:rPr>
                <w:rFonts w:hint="eastAsia" w:ascii="宋体" w:eastAsia="宋体" w:cs="宋体"/>
                <w:sz w:val="21"/>
                <w:szCs w:val="21"/>
              </w:rPr>
              <w:t>4143</w:t>
            </w:r>
          </w:p>
        </w:tc>
      </w:tr>
      <w:tr w14:paraId="556D5163">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CDE5AD2">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F1848">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小金县四姑娘山镇污水处理厂改扩建项目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374DF">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污水处理厂区内进行改扩建扩容，包括粗格栅间、配水井、二沉池、高效沉淀池、生物除臭装置、鼓风机房、中间提升池、絮凝沉淀池等配套设施设备，日处理生活污水处理能力提高到5000吨。</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76C5F">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四姑娘山镇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555ECA">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82242E5">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5500</w:t>
            </w:r>
          </w:p>
        </w:tc>
      </w:tr>
      <w:tr w14:paraId="65A651B1">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DD82917">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D474C">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小金县八角镇集镇污水处理设施提升改造项目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516AF">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改建500吨/日污水处理站1座，含取水格栅间、调节池、生物接触氧化池、二沉池配置刮泥机，石英砂滤池​紫外线消毒池，修复破损污水主干管3公里，新建支管3公里（DN200HDPE管，覆盖新增住户）；​维修检查井40座，新增雨水口30个防混流。​新建80㎡管理用房（含中控室），配置COD、氨氮检测仪；​安装水质在线监测系统1套、流量终端2处，站区硬化绿化。</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41CE2">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八角镇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4AD65">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2028-2029</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71CC45F">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2000</w:t>
            </w:r>
          </w:p>
        </w:tc>
      </w:tr>
      <w:tr w14:paraId="42CF8904">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898E3B2">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3E8D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小金县宅垄镇集镇污水处理设施提升改造项目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7B33A">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改建500吨/日污水处理站1座，含取水格栅间、调节池、生物接触氧化池、二沉池配置刮泥机，石英砂滤池​紫外线消毒池，修复破损污水主干管3公里，新建支管3公里（DN200HDPE管，覆盖新增住户）；​维修检查井30座，新增雨水口20个防混流。​新建80㎡管理用房（含中控室），配置COD、氨氮检测仪；​安装水质在线监测系统1套、流量终端2处，站区硬化绿化。污水处理设施运营服务3年。</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3AA55">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宅垄镇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A7F3B">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2028-2029</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C2FDA1E">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2100</w:t>
            </w:r>
          </w:p>
        </w:tc>
      </w:tr>
      <w:tr w14:paraId="45DE6FAE">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EC8294F">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580C8">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小金县沃日镇集镇污水处理设施提升改造项目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A64A1">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对既有处理系统改造为500吨/日处理设备，含取水格栅间、调节池、生物接触氧化池、二沉池配置刮泥机，石英砂滤池​紫外线消毒池，修复破损污水主干管2公里，新建支管4公里（DN200HDPE管，覆盖新增住户）；​维修检查井30座，新增雨水口20个防混流。​新建80㎡管理用房（含中控室），配置COD、氨氮检测仪；​安装水质在线监测系统1套、流量终端2处，站区硬化绿化。污水处理设施运营服务3年。</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434484">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沃日镇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82F20">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2028-2029</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424E12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2200</w:t>
            </w:r>
          </w:p>
        </w:tc>
      </w:tr>
      <w:tr w14:paraId="6A4461CE">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16F503D">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5E876">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小金县生活垃圾综合处理厂维修工程</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3C877">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维修改造小金县生活垃圾焚烧厂，主要包括更新小金县生活垃圾焚烧厂设备，对2X30t/d生活垃圾热解气化设施进行更换，采用炉排炉处理方式，提升改造焚烧烟气净化设备，完善配套相关设施，项目建成后形成垃圾处理能力60吨/日。</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E5B2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两河口镇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BC829">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FBABF28">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3215</w:t>
            </w:r>
          </w:p>
        </w:tc>
      </w:tr>
      <w:tr w14:paraId="70C4E2C0">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C691AD7">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377F60">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小金县农村生活收转运提升项目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E547A">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为小金县</w:t>
            </w:r>
            <w:r>
              <w:rPr>
                <w:rFonts w:ascii="宋体" w:eastAsia="宋体" w:cs="宋体"/>
                <w:kern w:val="0"/>
                <w:sz w:val="21"/>
                <w:szCs w:val="21"/>
              </w:rPr>
              <w:t>7</w:t>
            </w:r>
            <w:r>
              <w:rPr>
                <w:rFonts w:hint="eastAsia" w:ascii="宋体" w:eastAsia="宋体" w:cs="宋体"/>
                <w:kern w:val="0"/>
                <w:sz w:val="21"/>
                <w:szCs w:val="21"/>
              </w:rPr>
              <w:t>个乡镇（美兴镇、木坡乡、宅垄镇、结斯乡、达维、抚边、潘安）各新建</w:t>
            </w:r>
            <w:r>
              <w:rPr>
                <w:rFonts w:ascii="宋体" w:eastAsia="宋体" w:cs="宋体"/>
                <w:kern w:val="0"/>
                <w:sz w:val="21"/>
                <w:szCs w:val="21"/>
              </w:rPr>
              <w:t>1</w:t>
            </w:r>
            <w:r>
              <w:rPr>
                <w:rFonts w:hint="eastAsia" w:ascii="宋体" w:eastAsia="宋体" w:cs="宋体"/>
                <w:kern w:val="0"/>
                <w:sz w:val="21"/>
                <w:szCs w:val="21"/>
              </w:rPr>
              <w:t>个生活垃圾中转站，购置</w:t>
            </w:r>
            <w:r>
              <w:rPr>
                <w:rFonts w:ascii="宋体" w:eastAsia="宋体" w:cs="宋体"/>
                <w:kern w:val="0"/>
                <w:sz w:val="21"/>
                <w:szCs w:val="21"/>
              </w:rPr>
              <w:t>4</w:t>
            </w:r>
            <w:r>
              <w:rPr>
                <w:rFonts w:hint="eastAsia" w:ascii="宋体" w:eastAsia="宋体" w:cs="宋体"/>
                <w:kern w:val="0"/>
                <w:sz w:val="21"/>
                <w:szCs w:val="21"/>
              </w:rPr>
              <w:t>辆</w:t>
            </w:r>
            <w:r>
              <w:rPr>
                <w:rFonts w:ascii="宋体" w:eastAsia="宋体" w:cs="宋体"/>
                <w:kern w:val="0"/>
                <w:sz w:val="21"/>
                <w:szCs w:val="21"/>
              </w:rPr>
              <w:t>25</w:t>
            </w:r>
            <w:r>
              <w:rPr>
                <w:rFonts w:hint="eastAsia" w:ascii="宋体" w:eastAsia="宋体" w:cs="宋体"/>
                <w:kern w:val="0"/>
                <w:sz w:val="21"/>
                <w:szCs w:val="21"/>
              </w:rPr>
              <w:t>吨的压缩式垃圾车、</w:t>
            </w:r>
            <w:r>
              <w:rPr>
                <w:rFonts w:ascii="宋体" w:eastAsia="宋体" w:cs="宋体"/>
                <w:kern w:val="0"/>
                <w:sz w:val="21"/>
                <w:szCs w:val="21"/>
              </w:rPr>
              <w:t>15</w:t>
            </w:r>
            <w:r>
              <w:rPr>
                <w:rFonts w:hint="eastAsia" w:ascii="宋体" w:eastAsia="宋体" w:cs="宋体"/>
                <w:kern w:val="0"/>
                <w:sz w:val="21"/>
                <w:szCs w:val="21"/>
              </w:rPr>
              <w:t>辆小型垃圾车约</w:t>
            </w:r>
            <w:r>
              <w:rPr>
                <w:rFonts w:ascii="宋体" w:eastAsia="宋体" w:cs="宋体"/>
                <w:kern w:val="0"/>
                <w:sz w:val="21"/>
                <w:szCs w:val="21"/>
              </w:rPr>
              <w:t>2</w:t>
            </w:r>
            <w:r>
              <w:rPr>
                <w:rFonts w:hint="eastAsia" w:ascii="宋体" w:eastAsia="宋体" w:cs="宋体"/>
                <w:kern w:val="0"/>
                <w:sz w:val="21"/>
                <w:szCs w:val="21"/>
              </w:rPr>
              <w:t>吨</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B948E">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EC2F5">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2027-2030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DAA13C3">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8000</w:t>
            </w:r>
          </w:p>
        </w:tc>
      </w:tr>
      <w:tr w14:paraId="4DAF121A">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C3BC175">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979F3">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小金县汗牛片区垃圾收集转运站建设项目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82DF3">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新建</w:t>
            </w:r>
            <w:r>
              <w:rPr>
                <w:rFonts w:ascii="宋体" w:eastAsia="宋体" w:cs="宋体"/>
                <w:kern w:val="0"/>
                <w:sz w:val="21"/>
                <w:szCs w:val="21"/>
              </w:rPr>
              <w:t>10</w:t>
            </w:r>
            <w:r>
              <w:rPr>
                <w:rFonts w:hint="eastAsia" w:ascii="宋体" w:eastAsia="宋体" w:cs="宋体"/>
                <w:kern w:val="0"/>
                <w:sz w:val="21"/>
                <w:szCs w:val="21"/>
              </w:rPr>
              <w:t>吨</w:t>
            </w:r>
            <w:r>
              <w:rPr>
                <w:rFonts w:ascii="宋体" w:eastAsia="宋体" w:cs="宋体"/>
                <w:kern w:val="0"/>
                <w:sz w:val="21"/>
                <w:szCs w:val="21"/>
              </w:rPr>
              <w:t>/</w:t>
            </w:r>
            <w:r>
              <w:rPr>
                <w:rFonts w:hint="eastAsia" w:ascii="宋体" w:eastAsia="宋体" w:cs="宋体"/>
                <w:kern w:val="0"/>
                <w:sz w:val="21"/>
                <w:szCs w:val="21"/>
              </w:rPr>
              <w:t>日垃圾收集转运站</w:t>
            </w:r>
            <w:r>
              <w:rPr>
                <w:rFonts w:ascii="宋体" w:eastAsia="宋体" w:cs="宋体"/>
                <w:kern w:val="0"/>
                <w:sz w:val="21"/>
                <w:szCs w:val="21"/>
              </w:rPr>
              <w:t>1</w:t>
            </w:r>
            <w:r>
              <w:rPr>
                <w:rFonts w:hint="eastAsia" w:ascii="宋体" w:eastAsia="宋体" w:cs="宋体"/>
                <w:kern w:val="0"/>
                <w:sz w:val="21"/>
                <w:szCs w:val="21"/>
              </w:rPr>
              <w:t>座（总占地</w:t>
            </w:r>
            <w:r>
              <w:rPr>
                <w:rFonts w:ascii="宋体" w:eastAsia="宋体" w:cs="宋体"/>
                <w:kern w:val="0"/>
                <w:sz w:val="21"/>
                <w:szCs w:val="21"/>
              </w:rPr>
              <w:t>1500</w:t>
            </w:r>
            <w:r>
              <w:rPr>
                <w:rFonts w:hint="eastAsia" w:ascii="宋体" w:eastAsia="宋体" w:cs="宋体"/>
                <w:kern w:val="0"/>
                <w:sz w:val="21"/>
                <w:szCs w:val="21"/>
              </w:rPr>
              <w:t>平方米），含垃圾卸料间</w:t>
            </w:r>
            <w:r>
              <w:rPr>
                <w:rFonts w:ascii="宋体" w:eastAsia="宋体" w:cs="宋体"/>
                <w:kern w:val="0"/>
                <w:sz w:val="21"/>
                <w:szCs w:val="21"/>
              </w:rPr>
              <w:t>300</w:t>
            </w:r>
            <w:r>
              <w:rPr>
                <w:rFonts w:hint="eastAsia" w:ascii="宋体" w:eastAsia="宋体" w:cs="宋体"/>
                <w:kern w:val="0"/>
                <w:sz w:val="21"/>
                <w:szCs w:val="21"/>
              </w:rPr>
              <w:t>平方米、压缩车间</w:t>
            </w:r>
            <w:r>
              <w:rPr>
                <w:rFonts w:ascii="宋体" w:eastAsia="宋体" w:cs="宋体"/>
                <w:kern w:val="0"/>
                <w:sz w:val="21"/>
                <w:szCs w:val="21"/>
              </w:rPr>
              <w:t>200</w:t>
            </w:r>
            <w:r>
              <w:rPr>
                <w:rFonts w:hint="eastAsia" w:ascii="宋体" w:eastAsia="宋体" w:cs="宋体"/>
                <w:kern w:val="0"/>
                <w:sz w:val="21"/>
                <w:szCs w:val="21"/>
              </w:rPr>
              <w:t>平方米、暂存仓</w:t>
            </w:r>
            <w:r>
              <w:rPr>
                <w:rFonts w:ascii="宋体" w:eastAsia="宋体" w:cs="宋体"/>
                <w:kern w:val="0"/>
                <w:sz w:val="21"/>
                <w:szCs w:val="21"/>
              </w:rPr>
              <w:t>150</w:t>
            </w:r>
            <w:r>
              <w:rPr>
                <w:rFonts w:hint="eastAsia" w:ascii="宋体" w:eastAsia="宋体" w:cs="宋体"/>
                <w:kern w:val="0"/>
                <w:sz w:val="21"/>
                <w:szCs w:val="21"/>
              </w:rPr>
              <w:t>平方米及办公管理用房</w:t>
            </w:r>
            <w:r>
              <w:rPr>
                <w:rFonts w:ascii="宋体" w:eastAsia="宋体" w:cs="宋体"/>
                <w:kern w:val="0"/>
                <w:sz w:val="21"/>
                <w:szCs w:val="21"/>
              </w:rPr>
              <w:t>100</w:t>
            </w:r>
            <w:r>
              <w:rPr>
                <w:rFonts w:hint="eastAsia" w:ascii="宋体" w:eastAsia="宋体" w:cs="宋体"/>
                <w:kern w:val="0"/>
                <w:sz w:val="21"/>
                <w:szCs w:val="21"/>
              </w:rPr>
              <w:t>平方米；配套购置垃圾压缩设备</w:t>
            </w:r>
            <w:r>
              <w:rPr>
                <w:rFonts w:ascii="宋体" w:eastAsia="宋体" w:cs="宋体"/>
                <w:kern w:val="0"/>
                <w:sz w:val="21"/>
                <w:szCs w:val="21"/>
              </w:rPr>
              <w:t>1</w:t>
            </w:r>
            <w:r>
              <w:rPr>
                <w:rFonts w:hint="eastAsia" w:ascii="宋体" w:eastAsia="宋体" w:cs="宋体"/>
                <w:kern w:val="0"/>
                <w:sz w:val="21"/>
                <w:szCs w:val="21"/>
              </w:rPr>
              <w:t>套（处理能力</w:t>
            </w:r>
            <w:r>
              <w:rPr>
                <w:rFonts w:ascii="宋体" w:eastAsia="宋体" w:cs="宋体"/>
                <w:kern w:val="0"/>
                <w:sz w:val="21"/>
                <w:szCs w:val="21"/>
              </w:rPr>
              <w:t>10</w:t>
            </w:r>
            <w:r>
              <w:rPr>
                <w:rFonts w:hint="eastAsia" w:ascii="宋体" w:eastAsia="宋体" w:cs="宋体"/>
                <w:kern w:val="0"/>
                <w:sz w:val="21"/>
                <w:szCs w:val="21"/>
              </w:rPr>
              <w:t>吨</w:t>
            </w:r>
            <w:r>
              <w:rPr>
                <w:rFonts w:ascii="宋体" w:eastAsia="宋体" w:cs="宋体"/>
                <w:kern w:val="0"/>
                <w:sz w:val="21"/>
                <w:szCs w:val="21"/>
              </w:rPr>
              <w:t>/</w:t>
            </w:r>
            <w:r>
              <w:rPr>
                <w:rFonts w:hint="eastAsia" w:ascii="宋体" w:eastAsia="宋体" w:cs="宋体"/>
                <w:kern w:val="0"/>
                <w:sz w:val="21"/>
                <w:szCs w:val="21"/>
              </w:rPr>
              <w:t>日）、转运车辆</w:t>
            </w:r>
            <w:r>
              <w:rPr>
                <w:rFonts w:ascii="宋体" w:eastAsia="宋体" w:cs="宋体"/>
                <w:kern w:val="0"/>
                <w:sz w:val="21"/>
                <w:szCs w:val="21"/>
              </w:rPr>
              <w:t>2</w:t>
            </w:r>
            <w:r>
              <w:rPr>
                <w:rFonts w:hint="eastAsia" w:ascii="宋体" w:eastAsia="宋体" w:cs="宋体"/>
                <w:kern w:val="0"/>
                <w:sz w:val="21"/>
                <w:szCs w:val="21"/>
              </w:rPr>
              <w:t>台（</w:t>
            </w:r>
            <w:r>
              <w:rPr>
                <w:rFonts w:ascii="宋体" w:eastAsia="宋体" w:cs="宋体"/>
                <w:kern w:val="0"/>
                <w:sz w:val="21"/>
                <w:szCs w:val="21"/>
              </w:rPr>
              <w:t>5</w:t>
            </w:r>
            <w:r>
              <w:rPr>
                <w:rFonts w:hint="eastAsia" w:ascii="宋体" w:eastAsia="宋体" w:cs="宋体"/>
                <w:kern w:val="0"/>
                <w:sz w:val="21"/>
                <w:szCs w:val="21"/>
              </w:rPr>
              <w:t>吨</w:t>
            </w:r>
            <w:r>
              <w:rPr>
                <w:rFonts w:ascii="宋体" w:eastAsia="宋体" w:cs="宋体"/>
                <w:kern w:val="0"/>
                <w:sz w:val="21"/>
                <w:szCs w:val="21"/>
              </w:rPr>
              <w:t>/</w:t>
            </w:r>
            <w:r>
              <w:rPr>
                <w:rFonts w:hint="eastAsia" w:ascii="宋体" w:eastAsia="宋体" w:cs="宋体"/>
                <w:kern w:val="0"/>
                <w:sz w:val="21"/>
                <w:szCs w:val="21"/>
              </w:rPr>
              <w:t>台）、地磅</w:t>
            </w:r>
            <w:r>
              <w:rPr>
                <w:rFonts w:ascii="宋体" w:eastAsia="宋体" w:cs="宋体"/>
                <w:kern w:val="0"/>
                <w:sz w:val="21"/>
                <w:szCs w:val="21"/>
              </w:rPr>
              <w:t>1</w:t>
            </w:r>
            <w:r>
              <w:rPr>
                <w:rFonts w:hint="eastAsia" w:ascii="宋体" w:eastAsia="宋体" w:cs="宋体"/>
                <w:kern w:val="0"/>
                <w:sz w:val="21"/>
                <w:szCs w:val="21"/>
              </w:rPr>
              <w:t>台（</w:t>
            </w:r>
            <w:r>
              <w:rPr>
                <w:rFonts w:ascii="宋体" w:eastAsia="宋体" w:cs="宋体"/>
                <w:kern w:val="0"/>
                <w:sz w:val="21"/>
                <w:szCs w:val="21"/>
              </w:rPr>
              <w:t>10</w:t>
            </w:r>
            <w:r>
              <w:rPr>
                <w:rFonts w:hint="eastAsia" w:ascii="宋体" w:eastAsia="宋体" w:cs="宋体"/>
                <w:kern w:val="0"/>
                <w:sz w:val="21"/>
                <w:szCs w:val="21"/>
              </w:rPr>
              <w:t>吨级），建设防渗沉淀池</w:t>
            </w:r>
            <w:r>
              <w:rPr>
                <w:rFonts w:ascii="宋体" w:eastAsia="宋体" w:cs="宋体"/>
                <w:kern w:val="0"/>
                <w:sz w:val="21"/>
                <w:szCs w:val="21"/>
              </w:rPr>
              <w:t>50</w:t>
            </w:r>
            <w:r>
              <w:rPr>
                <w:rFonts w:hint="eastAsia" w:ascii="宋体" w:eastAsia="宋体" w:cs="宋体"/>
                <w:kern w:val="0"/>
                <w:sz w:val="21"/>
                <w:szCs w:val="21"/>
              </w:rPr>
              <w:t>立方米、渗滤液收集管网</w:t>
            </w:r>
            <w:r>
              <w:rPr>
                <w:rFonts w:ascii="宋体" w:eastAsia="宋体" w:cs="宋体"/>
                <w:kern w:val="0"/>
                <w:sz w:val="21"/>
                <w:szCs w:val="21"/>
              </w:rPr>
              <w:t>200</w:t>
            </w:r>
            <w:r>
              <w:rPr>
                <w:rFonts w:hint="eastAsia" w:ascii="宋体" w:eastAsia="宋体" w:cs="宋体"/>
                <w:kern w:val="0"/>
                <w:sz w:val="21"/>
                <w:szCs w:val="21"/>
              </w:rPr>
              <w:t>米；安装除臭系统</w:t>
            </w:r>
            <w:r>
              <w:rPr>
                <w:rFonts w:ascii="宋体" w:eastAsia="宋体" w:cs="宋体"/>
                <w:kern w:val="0"/>
                <w:sz w:val="21"/>
                <w:szCs w:val="21"/>
              </w:rPr>
              <w:t>1</w:t>
            </w:r>
            <w:r>
              <w:rPr>
                <w:rFonts w:hint="eastAsia" w:ascii="宋体" w:eastAsia="宋体" w:cs="宋体"/>
                <w:kern w:val="0"/>
                <w:sz w:val="21"/>
                <w:szCs w:val="21"/>
              </w:rPr>
              <w:t>套、喷淋降尘设备</w:t>
            </w:r>
            <w:r>
              <w:rPr>
                <w:rFonts w:ascii="宋体" w:eastAsia="宋体" w:cs="宋体"/>
                <w:kern w:val="0"/>
                <w:sz w:val="21"/>
                <w:szCs w:val="21"/>
              </w:rPr>
              <w:t>4</w:t>
            </w:r>
            <w:r>
              <w:rPr>
                <w:rFonts w:hint="eastAsia" w:ascii="宋体" w:eastAsia="宋体" w:cs="宋体"/>
                <w:kern w:val="0"/>
                <w:sz w:val="21"/>
                <w:szCs w:val="21"/>
              </w:rPr>
              <w:t>台及视频监控装置</w:t>
            </w:r>
            <w:r>
              <w:rPr>
                <w:rFonts w:ascii="宋体" w:eastAsia="宋体" w:cs="宋体"/>
                <w:kern w:val="0"/>
                <w:sz w:val="21"/>
                <w:szCs w:val="21"/>
              </w:rPr>
              <w:t>6</w:t>
            </w:r>
            <w:r>
              <w:rPr>
                <w:rFonts w:hint="eastAsia" w:ascii="宋体" w:eastAsia="宋体" w:cs="宋体"/>
                <w:kern w:val="0"/>
                <w:sz w:val="21"/>
                <w:szCs w:val="21"/>
              </w:rPr>
              <w:t>处，同步完善站内硬化（</w:t>
            </w:r>
            <w:r>
              <w:rPr>
                <w:rFonts w:ascii="宋体" w:eastAsia="宋体" w:cs="宋体"/>
                <w:kern w:val="0"/>
                <w:sz w:val="21"/>
                <w:szCs w:val="21"/>
              </w:rPr>
              <w:t>800</w:t>
            </w:r>
            <w:r>
              <w:rPr>
                <w:rFonts w:hint="eastAsia" w:ascii="宋体" w:eastAsia="宋体" w:cs="宋体"/>
                <w:kern w:val="0"/>
                <w:sz w:val="21"/>
                <w:szCs w:val="21"/>
              </w:rPr>
              <w:t>平方米）、绿化（</w:t>
            </w:r>
            <w:r>
              <w:rPr>
                <w:rFonts w:ascii="宋体" w:eastAsia="宋体" w:cs="宋体"/>
                <w:kern w:val="0"/>
                <w:sz w:val="21"/>
                <w:szCs w:val="21"/>
              </w:rPr>
              <w:t>200</w:t>
            </w:r>
            <w:r>
              <w:rPr>
                <w:rFonts w:hint="eastAsia" w:ascii="宋体" w:eastAsia="宋体" w:cs="宋体"/>
                <w:kern w:val="0"/>
                <w:sz w:val="21"/>
                <w:szCs w:val="21"/>
              </w:rPr>
              <w:t>平方米）及围墙</w:t>
            </w:r>
            <w:r>
              <w:rPr>
                <w:rFonts w:ascii="宋体" w:eastAsia="宋体" w:cs="宋体"/>
                <w:kern w:val="0"/>
                <w:sz w:val="21"/>
                <w:szCs w:val="21"/>
              </w:rPr>
              <w:t>150</w:t>
            </w:r>
            <w:r>
              <w:rPr>
                <w:rFonts w:hint="eastAsia" w:ascii="宋体" w:eastAsia="宋体" w:cs="宋体"/>
                <w:kern w:val="0"/>
                <w:sz w:val="21"/>
                <w:szCs w:val="21"/>
              </w:rPr>
              <w:t>米。</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7B8D7">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汗牛片区</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AE9CB">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A87FAD7">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1200</w:t>
            </w:r>
          </w:p>
        </w:tc>
      </w:tr>
      <w:tr w14:paraId="056D670C">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0563CFF">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EDC67">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小金县营盘、新街片区口袋公园建设项目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0A2620">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新建简易步道 4000 米（宽 1.5-2 米，山地段采用仿石透水砖，临河段设防腐木栈道），配套步道防护栏 1500 米；安装休闲座椅 20 套；新建户外电梯 2 部（每部载重 800kg，提升高度 15-20 米），电梯周边设防护棚及景观绿化。​配置智慧化健身器材 12 套；安装 LED 景观照明 80 盏（山地步道间距 35 米、临河路间距 40 米）；布设分类垃圾桶 30 组（每组 4 桶，标注清晰，10 组带智能满溢提醒并联网至环卫系统）等。</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550C7">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营盘、新街片区</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889C7">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2027-2028</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22A8CEF">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5600</w:t>
            </w:r>
          </w:p>
        </w:tc>
      </w:tr>
      <w:tr w14:paraId="723C4234">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116F001">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23C7D">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小金供排水智慧提升项目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7775B">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改造县城老旧供水管网8千米、污水管网6千米，更换智能水表8000块；搭建供排水智慧监测平台，布设流量、压力、水质传感器80处；更新污水处理厂自控系统，配套建设管网泄漏预警模块。</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A9FEC">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美兴镇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5ED9D">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2027-2028</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7996173">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8700</w:t>
            </w:r>
          </w:p>
        </w:tc>
      </w:tr>
      <w:tr w14:paraId="0BF7AB86">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CC4C565">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D57AF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小金县“智水净污”智慧污水一体化建设项目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A8C26">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软件部分包括建设污水智慧系统、污水处理厂管控一体化系统及污水管网GIS系统；硬件部分包括污水处理网络设备5台、污水处理安全设备20套、污水超声波液位计500套、污水超声波流量计200套、污水处理泵站监测设备10套、污水管道压力传感器520套、污水固定式水质监测仪60套、污水池水下摄像头120套、污水处理红外夜视摄像头100套、污水插入式电磁流量计160套、污水高频压力计180套、污水移动式水质监测仪60套、污水处理消毒设备20套等。</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F7FEB">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B4CB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35AC300">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5150</w:t>
            </w:r>
          </w:p>
        </w:tc>
      </w:tr>
      <w:tr w14:paraId="4DFB1280">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77BE2F6">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EC27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小金县第二污水处理厂改建项目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66966">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为补齐小金县生活污水处理能力短板，对原小金县第二污水处理厂实施改建，生活污水处理规模为5000m</w:t>
            </w:r>
            <w:r>
              <w:rPr>
                <w:rFonts w:hint="eastAsia" w:ascii="宋体" w:eastAsia="宋体" w:cs="宋体"/>
                <w:kern w:val="0"/>
                <w:sz w:val="21"/>
                <w:szCs w:val="21"/>
                <w:vertAlign w:val="superscript"/>
              </w:rPr>
              <w:t>3</w:t>
            </w:r>
            <w:r>
              <w:rPr>
                <w:rFonts w:hint="eastAsia" w:ascii="宋体" w:eastAsia="宋体" w:cs="宋体"/>
                <w:kern w:val="0"/>
                <w:sz w:val="21"/>
                <w:szCs w:val="21"/>
              </w:rPr>
              <w:t>/d，建设中水回用设施1套；改建污水管网约8.4km，管径涵盖DN300-DN600，改造污水井280座及其他必要配套设施。</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6740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美兴镇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E01B2">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7A3B247">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3100</w:t>
            </w:r>
          </w:p>
        </w:tc>
      </w:tr>
      <w:tr w14:paraId="5480EF61">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401A7FF">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69FE7">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小金县第四污水处理厂提质扩能建设项目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13896">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本项目设计日处理规模为8000m</w:t>
            </w:r>
            <w:r>
              <w:rPr>
                <w:rFonts w:hint="eastAsia" w:ascii="宋体" w:eastAsia="宋体" w:cs="宋体"/>
                <w:kern w:val="0"/>
                <w:sz w:val="21"/>
                <w:szCs w:val="21"/>
                <w:vertAlign w:val="superscript"/>
              </w:rPr>
              <w:t>3</w:t>
            </w:r>
            <w:r>
              <w:rPr>
                <w:rFonts w:hint="eastAsia" w:ascii="宋体" w:eastAsia="宋体" w:cs="宋体"/>
                <w:kern w:val="0"/>
                <w:sz w:val="21"/>
                <w:szCs w:val="21"/>
              </w:rPr>
              <w:t>/d，其中居民生活污水处理规模5600m3/d、非居民污水处理规模2400m</w:t>
            </w:r>
            <w:r>
              <w:rPr>
                <w:rFonts w:hint="eastAsia" w:ascii="宋体" w:eastAsia="宋体" w:cs="宋体"/>
                <w:kern w:val="0"/>
                <w:sz w:val="21"/>
                <w:szCs w:val="21"/>
                <w:vertAlign w:val="superscript"/>
              </w:rPr>
              <w:t>3</w:t>
            </w:r>
            <w:r>
              <w:rPr>
                <w:rFonts w:hint="eastAsia" w:ascii="宋体" w:eastAsia="宋体" w:cs="宋体"/>
                <w:kern w:val="0"/>
                <w:sz w:val="21"/>
                <w:szCs w:val="21"/>
              </w:rPr>
              <w:t>/d，配套建设中水设施及其他附属设施；同步建设污水主管网约2.15km，管径涵盖DN300-DN400，污水消能井83座，污水跌水井7座，全面强化片区污水收集处理效能，保障出水水质稳定达标。</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6499E5">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达维镇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70EA5D">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3DBDB82">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3068</w:t>
            </w:r>
          </w:p>
        </w:tc>
      </w:tr>
      <w:tr w14:paraId="1A0E503D">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16C3E77">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56074">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小金县小金川片区城市生态修复建设项目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21A7B">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建设7.7公里生态缓冲带，采用生态浮岛等生态治理技术提升河道水质，并完成周边 9500 平方米环境修复工程；设置集装箱式经营摊位85个、公共信息发布及运营点位190处；改造道路两侧停车位900平方米（共36个，配套充电桩13个），同步建设公共卫生间、休憩座椅等便民服务设施；改造休闲广场 4 处，提升改造沿河步道9.67公里；沿河加装防护围挡3.60公里，配套建设安防设施7处、无障碍设施8处等。</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EC072">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小金川片区</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98E23">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F2E9B72">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8800</w:t>
            </w:r>
          </w:p>
        </w:tc>
      </w:tr>
      <w:tr w14:paraId="38C9DF2D">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228F640">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BB0AA">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小金流域光伏基地水光蓄一体化光伏发电项目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56B88">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新增16万千瓦装机。</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B3152">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00CCE">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2025-2026</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107F188">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20000</w:t>
            </w:r>
          </w:p>
        </w:tc>
      </w:tr>
      <w:tr w14:paraId="3685BE0B">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38382FC">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44DBE1">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小金县畜禽养殖场粪污处理配套项目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B43AE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对全县适度规模养殖场粪污完成科学治理，配套三级过滤池、雨污分离、干粪堆放处、污水管道、无害化处理池、兽医室、养殖场垃圾处理池、粪污干湿分离等养殖场粪污治理设施设备。</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43920C">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694B3">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2028-2030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5C375AA">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10000</w:t>
            </w:r>
          </w:p>
        </w:tc>
      </w:tr>
      <w:tr w14:paraId="082456E3">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3D88A2E">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9ECE9">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小金县面源污染治理项目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29D8D">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1.畜禽养殖污染治理工程。建设100m</w:t>
            </w:r>
            <w:r>
              <w:rPr>
                <w:rFonts w:hint="eastAsia" w:ascii="宋体" w:eastAsia="宋体" w:cs="宋体"/>
                <w:kern w:val="0"/>
                <w:sz w:val="21"/>
                <w:szCs w:val="21"/>
                <w:vertAlign w:val="superscript"/>
              </w:rPr>
              <w:t>3</w:t>
            </w:r>
            <w:r>
              <w:rPr>
                <w:rFonts w:hint="eastAsia" w:ascii="宋体" w:eastAsia="宋体" w:cs="宋体"/>
                <w:kern w:val="0"/>
                <w:sz w:val="21"/>
                <w:szCs w:val="21"/>
              </w:rPr>
              <w:t>畜禽粪污分解池109套；2.推广加厚地膜10万亩；3、废弃地膜及农业固体废弃物回收体系建设，建设无害化焚化系统和清运系统；4、购置太阳能杀虫灯1100盏/5、开展化肥替代工作，补贴有机肥；6、信息化工程。建立农业面源污染治理智慧化管理平台；建设农田面源污染监测站4套、典型小流域监测站6套。</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3348A">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377F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2027-2029</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3BDEC6F">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5000</w:t>
            </w:r>
          </w:p>
        </w:tc>
      </w:tr>
      <w:tr w14:paraId="3EF99714">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525FFE7">
            <w:pPr>
              <w:widowControl/>
              <w:numPr>
                <w:ilvl w:val="0"/>
                <w:numId w:val="1"/>
              </w:numPr>
              <w:snapToGrid w:val="0"/>
              <w:ind w:firstLineChars="0"/>
              <w:jc w:val="center"/>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73F06">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小金县秸秆综合利用项目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9997A1">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收集加工（采购）秸秆饲草8000吨。</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ADC26">
            <w:pPr>
              <w:widowControl/>
              <w:snapToGrid w:val="0"/>
              <w:ind w:firstLine="0" w:firstLineChars="0"/>
              <w:jc w:val="center"/>
              <w:textAlignment w:val="center"/>
              <w:rPr>
                <w:rFonts w:ascii="宋体" w:eastAsia="宋体" w:cs="宋体"/>
                <w:kern w:val="0"/>
                <w:sz w:val="21"/>
                <w:szCs w:val="21"/>
              </w:rPr>
            </w:pP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C5D6B">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2027-2030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D58B3E1">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1200</w:t>
            </w:r>
          </w:p>
        </w:tc>
      </w:tr>
      <w:tr w14:paraId="2D6DC241">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825BA07">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E5744">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小金县结斯河流域水生态保护修复项目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469271">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对结斯河流域开展生态缓冲带工程：1#缓冲带：停车场边废弃河滩，修复面积6500平方米；2#缓冲带：大二普/漂流点，修复面积3500平方米；3#缓冲带：原泥石流区域，修复面积11000平方米；4#缓冲带：房车营地区域：修复面积11500平方米；5#缓冲带：小二普河滩：修复面积3000平方米；6#缓冲带：向花村口：修复面积7000平方米；7#缓冲带：支流冰川沟：修复面积：5500平方米；生态缓冲带修复面积为48000平方米</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6C982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结斯河</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5ABE5">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2026-2030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57039FF">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4237</w:t>
            </w:r>
          </w:p>
        </w:tc>
      </w:tr>
      <w:tr w14:paraId="1F3FFAB9">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6C2108D">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1E25D">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小金县饮用水水源地规范化建设改造提升项目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5EE43">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牌 56 块、宣传牌30块；（2）防护隔离建设：新增建设浸锌钢丝隔离网 24581m；（3）监控能力建设：视频监控系统 15 处；（4）建设小金县饮用水水源地信息化管理平台 1 个：包含视频监控模块、预警监测模块、应急物资储备库管理模块、移动端可视化管理模块各一套</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2706F">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021FA">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FE42A84">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1767</w:t>
            </w:r>
          </w:p>
        </w:tc>
      </w:tr>
      <w:tr w14:paraId="3FF2DBDA">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4824CEB">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DB8AD">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小金县入河排污口规范化建设项目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28E82">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入河排污口标识标牌与显示屏设立、监测采样点设置、安装视频监控设备、水质监测微站建设和信息管理平台建设，主要包括：设置标志牌25块、显示屏4块、设置监测采样点及安装计量设施4套（含必要检查井4座），安装视频监控设备25套，配备水质监测微站4套，建设小金县入河排污口信息管理平台1套</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1B38C">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A1BCAE">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2026-2028</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5D037A1">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604</w:t>
            </w:r>
          </w:p>
        </w:tc>
      </w:tr>
      <w:tr w14:paraId="7FC74F2E">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2E91528">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D8D01">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小金川河全流域美丽河湖建设项目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7214D">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阿坝州小金川河流域美丽河湖建设项目以小金川河流域两岸水生态保护修复为主线，针对岸线生态破坏和人为活动侵占生态缓冲带的突出生态环境问题，通过现场勘察，主要开展河岸生态缓冲带建设，生态缓冲带建设总面积454950m</w:t>
            </w:r>
            <w:r>
              <w:rPr>
                <w:rFonts w:hint="eastAsia" w:ascii="宋体" w:eastAsia="宋体" w:cs="宋体"/>
                <w:kern w:val="0"/>
                <w:sz w:val="21"/>
                <w:szCs w:val="21"/>
                <w:vertAlign w:val="superscript"/>
              </w:rPr>
              <w:t>2</w:t>
            </w:r>
            <w:r>
              <w:rPr>
                <w:rFonts w:hint="eastAsia" w:ascii="宋体" w:eastAsia="宋体" w:cs="宋体"/>
                <w:kern w:val="0"/>
                <w:sz w:val="21"/>
                <w:szCs w:val="21"/>
              </w:rPr>
              <w:t>，其中：小金川河生态缓冲带建设面积28980m</w:t>
            </w:r>
            <w:r>
              <w:rPr>
                <w:rFonts w:hint="eastAsia" w:ascii="宋体" w:eastAsia="宋体" w:cs="宋体"/>
                <w:kern w:val="0"/>
                <w:sz w:val="21"/>
                <w:szCs w:val="21"/>
                <w:vertAlign w:val="superscript"/>
              </w:rPr>
              <w:t>2</w:t>
            </w:r>
            <w:r>
              <w:rPr>
                <w:rFonts w:hint="eastAsia" w:ascii="宋体" w:eastAsia="宋体" w:cs="宋体"/>
                <w:kern w:val="0"/>
                <w:sz w:val="21"/>
                <w:szCs w:val="21"/>
              </w:rPr>
              <w:t>，沃日河生态缓冲带建设面积198460m</w:t>
            </w:r>
            <w:r>
              <w:rPr>
                <w:rFonts w:hint="eastAsia" w:ascii="宋体" w:eastAsia="宋体" w:cs="宋体"/>
                <w:kern w:val="0"/>
                <w:sz w:val="21"/>
                <w:szCs w:val="21"/>
                <w:vertAlign w:val="superscript"/>
              </w:rPr>
              <w:t>2</w:t>
            </w:r>
            <w:r>
              <w:rPr>
                <w:rFonts w:hint="eastAsia" w:ascii="宋体" w:eastAsia="宋体" w:cs="宋体"/>
                <w:kern w:val="0"/>
                <w:sz w:val="21"/>
                <w:szCs w:val="21"/>
              </w:rPr>
              <w:t>，美沃沟生态缓冲带建设面积36750m</w:t>
            </w:r>
            <w:r>
              <w:rPr>
                <w:rFonts w:hint="eastAsia" w:ascii="宋体" w:eastAsia="宋体" w:cs="宋体"/>
                <w:kern w:val="0"/>
                <w:sz w:val="21"/>
                <w:szCs w:val="21"/>
                <w:vertAlign w:val="superscript"/>
              </w:rPr>
              <w:t>2</w:t>
            </w:r>
            <w:r>
              <w:rPr>
                <w:rFonts w:hint="eastAsia" w:ascii="宋体" w:eastAsia="宋体" w:cs="宋体"/>
                <w:kern w:val="0"/>
                <w:sz w:val="21"/>
                <w:szCs w:val="21"/>
              </w:rPr>
              <w:t>，抚边河生态缓冲带建设面积159710m</w:t>
            </w:r>
            <w:r>
              <w:rPr>
                <w:rFonts w:hint="eastAsia" w:ascii="宋体" w:eastAsia="宋体" w:cs="宋体"/>
                <w:kern w:val="0"/>
                <w:sz w:val="21"/>
                <w:szCs w:val="21"/>
                <w:vertAlign w:val="superscript"/>
              </w:rPr>
              <w:t>2</w:t>
            </w:r>
            <w:r>
              <w:rPr>
                <w:rFonts w:hint="eastAsia" w:ascii="宋体" w:eastAsia="宋体" w:cs="宋体"/>
                <w:kern w:val="0"/>
                <w:sz w:val="21"/>
                <w:szCs w:val="21"/>
              </w:rPr>
              <w:t>，崇德沟生态缓冲带建设面积20000m</w:t>
            </w:r>
            <w:r>
              <w:rPr>
                <w:rFonts w:hint="eastAsia" w:ascii="宋体" w:eastAsia="宋体" w:cs="宋体"/>
                <w:kern w:val="0"/>
                <w:sz w:val="21"/>
                <w:szCs w:val="21"/>
                <w:vertAlign w:val="superscript"/>
              </w:rPr>
              <w:t>2</w:t>
            </w:r>
            <w:r>
              <w:rPr>
                <w:rFonts w:hint="eastAsia" w:ascii="宋体" w:eastAsia="宋体" w:cs="宋体"/>
                <w:kern w:val="0"/>
                <w:sz w:val="21"/>
                <w:szCs w:val="21"/>
              </w:rPr>
              <w:t>，夹金沟生态缓冲带建设面积11050m</w:t>
            </w:r>
            <w:r>
              <w:rPr>
                <w:rFonts w:hint="eastAsia" w:ascii="宋体" w:eastAsia="宋体" w:cs="宋体"/>
                <w:kern w:val="0"/>
                <w:sz w:val="21"/>
                <w:szCs w:val="21"/>
                <w:vertAlign w:val="superscript"/>
              </w:rPr>
              <w:t>2</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55AD0">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小金川河</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9E794">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2028-2030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EF60915">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11757.16</w:t>
            </w:r>
          </w:p>
        </w:tc>
      </w:tr>
      <w:tr w14:paraId="7D91AE3B">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C358EC6">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30D88">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小金县四姑娘山片区农村生活污水治理改造提升项目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AFECF">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修建10m³容积化粪池共3座（长坪村喇嘛寺2座、双桥村大石1座）；铺设多种规格管道，包括DN400PE主管（1.6MPa）17975米，DN300PE主管（1.6MPa）6060米，DN200PE主管（1.0MPa）5970米，DN160PE支管（1.0MPa）3200米，DN100PE（1.0MPa）出户管24500米，DN50pvc钢丝软管1000米，DN25PE（1.0MPa）6020米，D426x9钢管1480米，D426x9钢管法兰盘344片，Ø1000国标检查井834座，Ø700出户井624座，沿途沟渠破除及恢复BXH=600x600mm共3297米。</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E3453">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四姑娘山镇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A27EB">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2026-2030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77A656D">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4908</w:t>
            </w:r>
          </w:p>
        </w:tc>
      </w:tr>
      <w:tr w14:paraId="6023941D">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58D61102">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7521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阿坝州小金生态环境局环境监测站能力提升建设项目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435EF">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改造面积约为 450.58 平方米，建设内容包含实验室装修、公用工程设施建设和仪器设备采购与安装，实验室装修、公用工程设施建设包括墙面、地面、天花板装修、门窗工程、通风与空调系统、给排水系统、电力供应系统、消防等安全防护设施等安装工程，仪器设备采购工程主要包括水质监测仪器类、大气监测仪器类、其他仪器设备类。</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C5F0E9">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美兴镇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7E161">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F4E0BB3">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422</w:t>
            </w:r>
          </w:p>
        </w:tc>
      </w:tr>
      <w:tr w14:paraId="498087DD">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FF5FE51">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A44D7">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小金县沃日河片区农村生活污水治理提升改造项目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FB6AA">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1.达维镇滴水村至冒水村：主管2000米，焊接钢管18000米，支管8400米，出户管33000米及其管道附属设施（检查井，道路破除与恢复等）；300m³容积化粪池1座。2、达维镇夹金村：主管4700米，焊接钢管900米，支管800米，出户管3600米及其管道附属设施（检查井，道路破除与恢复等）；50m³容积化粪池1座。3、日尔乡董马村：主管3250米，支管1290米，支管290米，出户管4380米及其管道附属设施（检查井，道路破除与恢复等）；20m³容积化粪池1座，单户治理采用2m³容积化粪池+2m³容积暂存池85套。4、结斯乡王家寨村等</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F40F7">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达维镇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DC4030">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2027-2028</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4974009">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6520</w:t>
            </w:r>
          </w:p>
        </w:tc>
      </w:tr>
      <w:tr w14:paraId="46F55E8D">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2E90705">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F2D93">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小金县再生资源回收中心建设项目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442350">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建设再生资源回收中心1个。满足县域旧家电、废纸、废铁、废电器、废金属等废旧物品集中回收。提供家具、厨卫等消费品上门“送、装、拆、收”一条龙服务。提升废旧家电等废旧物品回收便利性，弥补废旧家电等废旧物品回收站点资源不足问题。</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B95C6">
            <w:pPr>
              <w:widowControl/>
              <w:snapToGrid w:val="0"/>
              <w:ind w:firstLine="0" w:firstLineChars="0"/>
              <w:jc w:val="center"/>
              <w:textAlignment w:val="center"/>
              <w:rPr>
                <w:rFonts w:ascii="宋体" w:eastAsia="宋体" w:cs="宋体"/>
                <w:kern w:val="0"/>
                <w:sz w:val="21"/>
                <w:szCs w:val="21"/>
              </w:rPr>
            </w:pP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D7B0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1E4F0C5">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1000</w:t>
            </w:r>
          </w:p>
        </w:tc>
      </w:tr>
      <w:tr w14:paraId="347CD7C9">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E392EC6">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C453D3">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四姑娘山生态户外研学基地项目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07CBA">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1.在双桥村2组岩窝、邓家磨坊32户村民现有房屋（建筑面积约14000㎡），建设研学基地。2.在双桥村3组陈家弯弯11户村民现有房屋（建筑面积约5000㎡），60亩林地建设林间轻户外体验研学基地；3.在双桥村大院坝公路以上25户村民现有房屋（建筑面积约10000㎡），建设艺术创作研学基地，内含音乐、绘画、写真、摄影等工作室、展示厅、教学场所等；4.在双桥村3组大院坝公路以下4户村民现有房屋（建筑面积6000㎡），建设户外运动研学基地，主要以攀冰、攀岩课程培训、教学研讨、学术交流为主，建设工作室、教室、室内体验室、现场教学点位等。</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DB275">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四姑娘山镇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C3F68A">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2028</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CD5E345">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20000</w:t>
            </w:r>
          </w:p>
        </w:tc>
      </w:tr>
      <w:tr w14:paraId="0E44AD9D">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46F0E77">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8AB9E8">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小金县2024年中央财政林业草原专项资金预算（第三批）草原生态修复治理项目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AC87C">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人工种草8400亩、天然草原改良16800亩、围栏建设28000米。</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9F04C">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476BD">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98C1669">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671</w:t>
            </w:r>
          </w:p>
        </w:tc>
      </w:tr>
      <w:tr w14:paraId="5350E5C5">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BC51010">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62036">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2025年四川省阿坝州小金县大渡河流域生物多样性保护与水源涵养生态修复项目（小金县部分）</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E8EC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封山育林3.3万亩、退化林修复1.2万亩。围栏封育4.99万米。</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878BD5">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两河口镇</w:t>
            </w:r>
          </w:p>
          <w:p w14:paraId="400C3EAC">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美沃乡</w:t>
            </w:r>
          </w:p>
          <w:p w14:paraId="30CD339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八角镇</w:t>
            </w:r>
          </w:p>
          <w:p w14:paraId="4B40D8EF">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抚边乡</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CF21B1">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24C471C">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1397.72</w:t>
            </w:r>
          </w:p>
        </w:tc>
      </w:tr>
      <w:tr w14:paraId="7FA0372A">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18BA648">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711B1">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小金县2026年森林草原防灭火项目（防灭火预警空天地一体化监测体系建设）</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E7E9C">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新建林火监测视频8套（小金沉水村、小金窝底乡、小金县新桥乡共和村、小金阿斯隆、大草坝、小金巴木村、小金宅垄乡马尔村、小金花牛三组），升级改建8套（小金县城-2视频监控、小金县色不龙视频监控、金猫鼻梁基站视频监控、小金石鼓村三组视频监控、小金简槽视频监控、小金美诺村视频监控、小金白马村视频监控小金县宅垄乡日落村视频监控）、重点雷区安装雷击火监测设备建设5套（小金窝底沟村、小金县八角基站、小金白马村、小金简槽、小金汗牛乡大哇村二组）、无人机机库4套（小金县四姑娘山锅庄坪基站、小金大寨村一组、小金崇德老街、小金大洼村）</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BC8D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宅垄镇</w:t>
            </w:r>
          </w:p>
          <w:p w14:paraId="7AD4B359">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窝底乡</w:t>
            </w:r>
          </w:p>
          <w:p w14:paraId="4CF1560B">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新桥乡</w:t>
            </w:r>
          </w:p>
          <w:p w14:paraId="617EAF72">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汗牛乡</w:t>
            </w:r>
          </w:p>
          <w:p w14:paraId="541DA53E">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抚边乡</w:t>
            </w:r>
          </w:p>
          <w:p w14:paraId="10592CE5">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八角镇</w:t>
            </w:r>
          </w:p>
          <w:p w14:paraId="481BF9D9">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四姑娘山镇达维镇</w:t>
            </w:r>
          </w:p>
          <w:p w14:paraId="744CDD8F">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美沃乡</w:t>
            </w:r>
          </w:p>
          <w:p w14:paraId="43DCAE16">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崇德乡</w:t>
            </w:r>
          </w:p>
          <w:p w14:paraId="040F54A4">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两河口镇</w:t>
            </w:r>
          </w:p>
          <w:p w14:paraId="5B2ED877">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沃日镇</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33329C">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2026-2030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A295B4B">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1220</w:t>
            </w:r>
          </w:p>
        </w:tc>
      </w:tr>
      <w:tr w14:paraId="39969F7E">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0714E2E">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1015E">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2028年小金县国有林保护局森林抚育项目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2E5800">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在小金县国有林保护局林区范围内进行疏伐结合人工修枝共10000亩森林抚育。</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2E492">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国有林保护局</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79673">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2028-2029</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3E937259">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500</w:t>
            </w:r>
          </w:p>
        </w:tc>
      </w:tr>
      <w:tr w14:paraId="00375C8F">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2717279">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173A9">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小金县大熊猫栖息世界遗产地珍稀植物封禁保护项目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EDCDC">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将封禁保护任务落实给禁养后转型的人员，对分布有珍稀植物的区域进行封禁保护，封禁规模15万亩。同时根据实际情况配套建设一定的宣传警示牌，增强当地群众和游客的生态意识和保护意识。</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B9BD2">
            <w:pPr>
              <w:widowControl/>
              <w:snapToGrid w:val="0"/>
              <w:ind w:firstLine="0" w:firstLineChars="0"/>
              <w:jc w:val="center"/>
              <w:textAlignment w:val="center"/>
              <w:rPr>
                <w:rFonts w:ascii="宋体" w:eastAsia="宋体" w:cs="宋体"/>
                <w:kern w:val="0"/>
                <w:sz w:val="21"/>
                <w:szCs w:val="21"/>
              </w:rPr>
            </w:pP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58E18">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2028-2030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469218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2000</w:t>
            </w:r>
          </w:p>
        </w:tc>
      </w:tr>
      <w:tr w14:paraId="3296000A">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6E695D1">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E51CA">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小金县自然保护地野外监控系统</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647299">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安装野外视频监控系统300处，提高对自然保护地域的实时监控能力。</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8D249C">
            <w:pPr>
              <w:widowControl/>
              <w:snapToGrid w:val="0"/>
              <w:ind w:firstLine="0" w:firstLineChars="0"/>
              <w:jc w:val="center"/>
              <w:textAlignment w:val="center"/>
              <w:rPr>
                <w:rFonts w:ascii="宋体" w:eastAsia="宋体" w:cs="宋体"/>
                <w:kern w:val="0"/>
                <w:sz w:val="21"/>
                <w:szCs w:val="21"/>
              </w:rPr>
            </w:pP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24406">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2028-2030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3B85B5E">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3000</w:t>
            </w:r>
          </w:p>
        </w:tc>
      </w:tr>
      <w:tr w14:paraId="26BA9C85">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F8C3FC6">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754FE">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小金县林业和草原有害生物防治项目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44162">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鼠兔害、斑衣蜡蝉、草原毒草治理，花椒、核桃病虫害防治、云杉病虫害，小蠹虫，面积20万亩。</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D0D6B">
            <w:pPr>
              <w:widowControl/>
              <w:snapToGrid w:val="0"/>
              <w:ind w:firstLine="0" w:firstLineChars="0"/>
              <w:jc w:val="center"/>
              <w:textAlignment w:val="center"/>
              <w:rPr>
                <w:rFonts w:ascii="宋体" w:eastAsia="宋体" w:cs="宋体"/>
                <w:kern w:val="0"/>
                <w:sz w:val="21"/>
                <w:szCs w:val="21"/>
              </w:rPr>
            </w:pPr>
            <w:r>
              <w:rPr>
                <w:rFonts w:hint="eastAsia" w:ascii="宋体" w:eastAsia="宋体" w:cs="宋体"/>
                <w:kern w:val="0"/>
                <w:sz w:val="21"/>
                <w:szCs w:val="21"/>
              </w:rPr>
              <w:t>全县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890EB">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2028-2030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FAC7969">
            <w:pPr>
              <w:widowControl/>
              <w:snapToGrid w:val="0"/>
              <w:ind w:firstLine="0" w:firstLineChars="0"/>
              <w:jc w:val="left"/>
              <w:textAlignment w:val="center"/>
              <w:rPr>
                <w:rFonts w:ascii="宋体" w:eastAsia="宋体" w:cs="宋体"/>
                <w:kern w:val="0"/>
                <w:sz w:val="21"/>
                <w:szCs w:val="21"/>
              </w:rPr>
            </w:pPr>
            <w:r>
              <w:rPr>
                <w:rFonts w:hint="eastAsia" w:ascii="宋体" w:eastAsia="宋体" w:cs="宋体"/>
                <w:kern w:val="0"/>
                <w:sz w:val="21"/>
                <w:szCs w:val="21"/>
              </w:rPr>
              <w:t>2500</w:t>
            </w:r>
          </w:p>
        </w:tc>
      </w:tr>
      <w:tr w14:paraId="2EA92E32">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36B3664">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BBD1B">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小金县凉台湾片区老旧街区改造项目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5C35E">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主要包括老旧街区道路改造2公里，原有供水、污水地下管网优化改造2公里，老旧破损建筑整治4.2万平方米，空中飞线改造2公里，并对原有人行道2公里进行改造、配套设施、墙体、停车场进行改造等</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F3F55">
            <w:pPr>
              <w:widowControl/>
              <w:snapToGrid w:val="0"/>
              <w:ind w:firstLine="0" w:firstLineChars="0"/>
              <w:jc w:val="center"/>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凉台湾片区</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674CD">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AB7BE76">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5800</w:t>
            </w:r>
          </w:p>
        </w:tc>
      </w:tr>
      <w:tr w14:paraId="6BF7FADE">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27C43795">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9AEA6">
            <w:pPr>
              <w:widowControl/>
              <w:snapToGrid w:val="0"/>
              <w:ind w:firstLine="0" w:firstLineChars="0"/>
              <w:jc w:val="left"/>
              <w:textAlignment w:val="center"/>
              <w:rPr>
                <w:rFonts w:hint="eastAsia" w:ascii="宋体" w:eastAsia="宋体" w:cs="宋体"/>
                <w:kern w:val="0"/>
                <w:sz w:val="21"/>
                <w:szCs w:val="21"/>
              </w:rPr>
            </w:pP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B5BF9">
            <w:pPr>
              <w:widowControl/>
              <w:snapToGrid w:val="0"/>
              <w:ind w:firstLine="0" w:firstLineChars="0"/>
              <w:jc w:val="left"/>
              <w:textAlignment w:val="center"/>
              <w:rPr>
                <w:rFonts w:hint="eastAsia" w:ascii="宋体" w:eastAsia="宋体" w:cs="宋体"/>
                <w:kern w:val="0"/>
                <w:sz w:val="21"/>
                <w:szCs w:val="21"/>
              </w:rPr>
            </w:pP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8A026">
            <w:pPr>
              <w:widowControl/>
              <w:snapToGrid w:val="0"/>
              <w:ind w:firstLine="0" w:firstLineChars="0"/>
              <w:jc w:val="center"/>
              <w:textAlignment w:val="center"/>
              <w:rPr>
                <w:rFonts w:hint="eastAsia" w:ascii="宋体" w:eastAsia="宋体" w:cs="宋体"/>
                <w:kern w:val="0"/>
                <w:sz w:val="21"/>
                <w:szCs w:val="21"/>
              </w:rPr>
            </w:pP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32A36">
            <w:pPr>
              <w:widowControl/>
              <w:snapToGrid w:val="0"/>
              <w:ind w:firstLine="0" w:firstLineChars="0"/>
              <w:jc w:val="left"/>
              <w:textAlignment w:val="center"/>
              <w:rPr>
                <w:rFonts w:hint="eastAsia" w:ascii="宋体" w:eastAsia="宋体" w:cs="宋体"/>
                <w:kern w:val="0"/>
                <w:sz w:val="21"/>
                <w:szCs w:val="21"/>
              </w:rPr>
            </w:pP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4DEA99A3">
            <w:pPr>
              <w:widowControl/>
              <w:snapToGrid w:val="0"/>
              <w:ind w:firstLine="0" w:firstLineChars="0"/>
              <w:jc w:val="left"/>
              <w:textAlignment w:val="center"/>
              <w:rPr>
                <w:rFonts w:hint="eastAsia" w:ascii="宋体" w:eastAsia="宋体" w:cs="宋体"/>
                <w:kern w:val="0"/>
                <w:sz w:val="21"/>
                <w:szCs w:val="21"/>
              </w:rPr>
            </w:pPr>
          </w:p>
        </w:tc>
      </w:tr>
      <w:tr w14:paraId="0C0AA383">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9F2604A">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98225">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小金县主城区城市更新改造及配套管网建设项目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F2E779">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改造主城区污水管网8km（含DN400-DN600PE管、DN300波纹管），配套建设污水提升泵站2座及检查井180座；同步实施老旧小区环境更新，改造路面3000㎡、修复外墙2000㎡、增设休闲设施8处），配套敷设给水管网5km（DN200PE管）、完善管网智慧监测系统，布设流量、水质传感器30处，改造片区内雨污合流口为分流制</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66064">
            <w:pPr>
              <w:widowControl/>
              <w:snapToGrid w:val="0"/>
              <w:ind w:firstLine="0" w:firstLineChars="0"/>
              <w:jc w:val="center"/>
              <w:textAlignment w:val="center"/>
              <w:rPr>
                <w:rFonts w:hint="eastAsia" w:ascii="宋体" w:eastAsia="宋体" w:cs="宋体"/>
                <w:kern w:val="0"/>
                <w:sz w:val="21"/>
                <w:szCs w:val="21"/>
                <w:lang w:val="en-US" w:eastAsia="zh-CN"/>
              </w:rPr>
            </w:pPr>
            <w:r>
              <w:rPr>
                <w:rFonts w:hint="eastAsia" w:ascii="宋体" w:eastAsia="宋体" w:cs="宋体"/>
                <w:kern w:val="0"/>
                <w:sz w:val="21"/>
                <w:szCs w:val="21"/>
                <w:lang w:val="en-US" w:eastAsia="zh-CN"/>
              </w:rPr>
              <w:t>主城区</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C7A79">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2029-2030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2BECD5B6">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4200</w:t>
            </w:r>
          </w:p>
        </w:tc>
      </w:tr>
      <w:tr w14:paraId="1DA4454F">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00ACDEC">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0FF2B">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小金县政府街老旧街区改造项目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832F6C">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主要包括老旧街区道路改造2公里，改造内容包括小区内雨污水管网改造约2公里，绿化及围墙改造，对沿线人行道2公里进行改造，以及消防、安防、环卫、供电、供水、适老及托幼设施等工程改造</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04E9D">
            <w:pPr>
              <w:widowControl/>
              <w:snapToGrid w:val="0"/>
              <w:ind w:firstLine="0" w:firstLineChars="0"/>
              <w:jc w:val="center"/>
              <w:textAlignment w:val="center"/>
              <w:rPr>
                <w:rFonts w:hint="eastAsia" w:ascii="宋体" w:eastAsia="宋体" w:cs="宋体"/>
                <w:kern w:val="0"/>
                <w:sz w:val="21"/>
                <w:szCs w:val="21"/>
                <w:lang w:val="en-US" w:eastAsia="zh-CN"/>
              </w:rPr>
            </w:pPr>
            <w:r>
              <w:rPr>
                <w:rFonts w:hint="eastAsia" w:ascii="宋体" w:eastAsia="宋体" w:cs="宋体"/>
                <w:kern w:val="0"/>
                <w:sz w:val="21"/>
                <w:szCs w:val="21"/>
                <w:lang w:val="en-US" w:eastAsia="zh-CN"/>
              </w:rPr>
              <w:t>主城区</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A8F3A">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17EB5D8">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4000</w:t>
            </w:r>
          </w:p>
        </w:tc>
      </w:tr>
      <w:tr w14:paraId="79939821">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3CF1AA6">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DE99C">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小金县营盘回头线老旧街区改造项目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C832B">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主要包括老旧街区道路改造1公里，改造内容包括小区内雨污水管网改造约1公里，绿化及围墙改造，人行道改造2公里进行改造，以及消防、安防、环卫、供电、供水、适老及托幼设施等工程改造</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7E655">
            <w:pPr>
              <w:widowControl/>
              <w:snapToGrid w:val="0"/>
              <w:ind w:firstLine="0" w:firstLineChars="0"/>
              <w:jc w:val="center"/>
              <w:textAlignment w:val="center"/>
              <w:rPr>
                <w:rFonts w:hint="eastAsia" w:ascii="宋体" w:eastAsia="宋体" w:cs="宋体"/>
                <w:kern w:val="0"/>
                <w:sz w:val="21"/>
                <w:szCs w:val="21"/>
                <w:lang w:val="en-US" w:eastAsia="zh-CN"/>
              </w:rPr>
            </w:pPr>
            <w:r>
              <w:rPr>
                <w:rFonts w:hint="eastAsia" w:ascii="宋体" w:eastAsia="宋体" w:cs="宋体"/>
                <w:kern w:val="0"/>
                <w:sz w:val="21"/>
                <w:szCs w:val="21"/>
                <w:lang w:val="en-US" w:eastAsia="zh-CN"/>
              </w:rPr>
              <w:t>主城区</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426A8">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0A2F03E6">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5500</w:t>
            </w:r>
          </w:p>
        </w:tc>
      </w:tr>
      <w:tr w14:paraId="6EA8DDC3">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F20EB01">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06290">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小金县宜居宜业和美乡村示范片建设项目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2DD61">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逐年实施生活宜居、发展宜业、治理有效、环境优美可持续发展的乡村建设项目.</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CDA5C">
            <w:pPr>
              <w:widowControl/>
              <w:snapToGrid w:val="0"/>
              <w:ind w:firstLine="0" w:firstLineChars="0"/>
              <w:jc w:val="center"/>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小金县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4A7454">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2026-2030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5F988554">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30000</w:t>
            </w:r>
          </w:p>
        </w:tc>
      </w:tr>
      <w:tr w14:paraId="311AF6BA">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3D634E60">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42E0F">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小金县四姑娘山站TOD综合体及附属设施建设项目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16CCD">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满足四姑娘山景区每日最大4万游客快速进沟接驳，建筑面积1.2万平方米</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5FC96">
            <w:pPr>
              <w:widowControl/>
              <w:snapToGrid w:val="0"/>
              <w:ind w:firstLine="0" w:firstLineChars="0"/>
              <w:jc w:val="center"/>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小金县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E8F21">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2026-2028</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FCB7FD1">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48000</w:t>
            </w:r>
          </w:p>
        </w:tc>
      </w:tr>
      <w:tr w14:paraId="3E2DA920">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1F6A9EFE">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FE16F">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集中式风电项目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F5A1C">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集中式风电开发，装机5万千瓦</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5ED33">
            <w:pPr>
              <w:widowControl/>
              <w:snapToGrid w:val="0"/>
              <w:ind w:firstLine="0" w:firstLineChars="0"/>
              <w:jc w:val="center"/>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小金县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A8A24">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2026-2030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7DFC22B9">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30000</w:t>
            </w:r>
          </w:p>
        </w:tc>
      </w:tr>
      <w:tr w14:paraId="57529733">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4AF78594">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99B44">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小金县特色苹果产业提质增效建设项目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CFED9">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项目涉及用地范围 1 万亩，“果粮套种”农经复合种植基地 8000 亩，苹果生态产业观光园 1500 亩，250 亩果种苗资源圃，冷藏库 5310 平方米、盘活闲置农副产品深加工基地 2113.44 平方米，智慧农业系统 1 套，采摘路护栏 18km、栈道 8km，水肥一体化设备管理房 1 座，水肥一体化自动化灌溉配套设施（水泵、喷头、水管、支架等），农产品堆放点 3 处，农特产品售卖点 14 处，防雹网架设 1 万亩，采果升降机等设备购置 2800 套，配套灌溉饮水管道、蓄水池、道路、围墙、排水沟、厕所、官寨桥等基础设施</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A6483">
            <w:pPr>
              <w:widowControl/>
              <w:snapToGrid w:val="0"/>
              <w:ind w:firstLine="0" w:firstLineChars="0"/>
              <w:jc w:val="center"/>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小金县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E7263B">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2027-2030</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127FA5A5">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18000</w:t>
            </w:r>
          </w:p>
        </w:tc>
      </w:tr>
      <w:tr w14:paraId="78508639">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6CCFC8BE">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A035A">
            <w:pPr>
              <w:widowControl/>
              <w:snapToGrid w:val="0"/>
              <w:ind w:firstLine="0" w:firstLineChars="0"/>
              <w:jc w:val="left"/>
              <w:textAlignment w:val="center"/>
              <w:rPr>
                <w:rFonts w:hint="eastAsia" w:ascii="宋体" w:eastAsia="宋体" w:cs="宋体"/>
                <w:kern w:val="0"/>
                <w:sz w:val="21"/>
                <w:szCs w:val="21"/>
              </w:rPr>
            </w:pPr>
            <w:r>
              <w:rPr>
                <w:rFonts w:hint="eastAsia" w:ascii="宋体" w:eastAsia="宋体" w:cs="宋体"/>
                <w:kern w:val="0"/>
                <w:sz w:val="21"/>
                <w:szCs w:val="21"/>
              </w:rPr>
              <w:t>小金县综合防灾能力建设项目</w:t>
            </w:r>
          </w:p>
        </w:tc>
        <w:tc>
          <w:tcPr>
            <w:tcW w:w="7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ECCDE">
            <w:pPr>
              <w:widowControl/>
              <w:snapToGrid w:val="0"/>
              <w:ind w:firstLine="0" w:firstLineChars="0"/>
              <w:jc w:val="left"/>
              <w:textAlignment w:val="center"/>
              <w:rPr>
                <w:rFonts w:hint="eastAsia" w:ascii="宋体" w:eastAsia="宋体" w:cs="宋体"/>
                <w:kern w:val="0"/>
                <w:sz w:val="21"/>
                <w:szCs w:val="21"/>
                <w:lang w:eastAsia="zh-CN"/>
              </w:rPr>
            </w:pPr>
            <w:r>
              <w:rPr>
                <w:rFonts w:hint="eastAsia" w:ascii="宋体" w:eastAsia="宋体" w:cs="宋体"/>
                <w:kern w:val="0"/>
                <w:sz w:val="21"/>
                <w:szCs w:val="21"/>
              </w:rPr>
              <w:t>对县级应急指挥系统进行升级，配套MCU 会议管理平台、18个乡镇高清智能视频会议终端等设备。提升应急避难场所规范化运行能力，对111个村级避难场所、20个乡镇级避难场所进行规范化建设</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7504D">
            <w:pPr>
              <w:widowControl/>
              <w:snapToGrid w:val="0"/>
              <w:ind w:firstLine="0" w:firstLineChars="0"/>
              <w:jc w:val="center"/>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小金县</w:t>
            </w:r>
          </w:p>
        </w:tc>
        <w:tc>
          <w:tcPr>
            <w:tcW w:w="127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865B4">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2026-2027</w:t>
            </w:r>
          </w:p>
        </w:tc>
        <w:tc>
          <w:tcPr>
            <w:tcW w:w="1244" w:type="dxa"/>
            <w:tcBorders>
              <w:top w:val="single" w:color="auto" w:sz="4" w:space="0"/>
              <w:left w:val="single" w:color="auto" w:sz="4" w:space="0"/>
              <w:bottom w:val="single" w:color="auto" w:sz="4" w:space="0"/>
              <w:right w:val="single" w:color="auto" w:sz="12" w:space="0"/>
            </w:tcBorders>
            <w:shd w:val="clear" w:color="auto" w:fill="auto"/>
            <w:noWrap/>
            <w:vAlign w:val="center"/>
          </w:tcPr>
          <w:p w14:paraId="6D22309B">
            <w:pPr>
              <w:widowControl/>
              <w:snapToGrid w:val="0"/>
              <w:ind w:firstLine="0" w:firstLineChars="0"/>
              <w:jc w:val="left"/>
              <w:textAlignment w:val="center"/>
              <w:rPr>
                <w:rFonts w:hint="default" w:ascii="宋体" w:eastAsia="宋体" w:cs="宋体"/>
                <w:kern w:val="0"/>
                <w:sz w:val="21"/>
                <w:szCs w:val="21"/>
                <w:lang w:val="en-US" w:eastAsia="zh-CN"/>
              </w:rPr>
            </w:pPr>
            <w:r>
              <w:rPr>
                <w:rFonts w:hint="eastAsia" w:ascii="宋体" w:eastAsia="宋体" w:cs="宋体"/>
                <w:kern w:val="0"/>
                <w:sz w:val="21"/>
                <w:szCs w:val="21"/>
                <w:lang w:val="en-US" w:eastAsia="zh-CN"/>
              </w:rPr>
              <w:t>3000</w:t>
            </w:r>
          </w:p>
        </w:tc>
      </w:tr>
      <w:tr w14:paraId="6D78F6E9">
        <w:tblPrEx>
          <w:tblCellMar>
            <w:top w:w="32" w:type="dxa"/>
            <w:left w:w="64" w:type="dxa"/>
            <w:bottom w:w="32" w:type="dxa"/>
            <w:right w:w="64" w:type="dxa"/>
          </w:tblCellMar>
        </w:tblPrEx>
        <w:trPr>
          <w:cantSplit/>
          <w:jc w:val="center"/>
        </w:trPr>
        <w:tc>
          <w:tcPr>
            <w:tcW w:w="626" w:type="dxa"/>
            <w:tcBorders>
              <w:top w:val="single" w:color="auto" w:sz="4" w:space="0"/>
              <w:left w:val="single" w:color="auto" w:sz="12" w:space="0"/>
              <w:bottom w:val="single" w:color="auto" w:sz="12" w:space="0"/>
              <w:right w:val="single" w:color="auto" w:sz="4" w:space="0"/>
            </w:tcBorders>
            <w:shd w:val="clear" w:color="auto" w:fill="auto"/>
            <w:noWrap/>
            <w:vAlign w:val="center"/>
          </w:tcPr>
          <w:p w14:paraId="58CF2BF1">
            <w:pPr>
              <w:widowControl/>
              <w:numPr>
                <w:ilvl w:val="0"/>
                <w:numId w:val="1"/>
              </w:numPr>
              <w:snapToGrid w:val="0"/>
              <w:ind w:firstLineChars="0"/>
              <w:jc w:val="left"/>
              <w:textAlignment w:val="center"/>
              <w:rPr>
                <w:rFonts w:ascii="宋体" w:eastAsia="宋体" w:cs="宋体"/>
                <w:kern w:val="0"/>
                <w:sz w:val="21"/>
                <w:szCs w:val="21"/>
              </w:rPr>
            </w:pPr>
          </w:p>
        </w:tc>
        <w:tc>
          <w:tcPr>
            <w:tcW w:w="1900"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59C5BAEF">
            <w:pPr>
              <w:widowControl/>
              <w:snapToGrid w:val="0"/>
              <w:ind w:firstLine="0" w:firstLineChars="0"/>
              <w:jc w:val="left"/>
              <w:textAlignment w:val="center"/>
              <w:rPr>
                <w:rFonts w:hint="eastAsia" w:ascii="宋体" w:hAnsi="Times New Roman" w:eastAsia="宋体" w:cs="宋体"/>
                <w:kern w:val="0"/>
                <w:sz w:val="21"/>
                <w:szCs w:val="21"/>
                <w:lang w:val="en-US" w:eastAsia="zh-CN" w:bidi="ar-SA"/>
              </w:rPr>
            </w:pPr>
            <w:r>
              <w:rPr>
                <w:rFonts w:hint="eastAsia" w:ascii="宋体" w:eastAsia="宋体" w:cs="宋体"/>
                <w:kern w:val="0"/>
                <w:sz w:val="21"/>
                <w:szCs w:val="21"/>
              </w:rPr>
              <w:t>小金县中心城区片区排水防涝能力提升工程</w:t>
            </w:r>
          </w:p>
        </w:tc>
        <w:tc>
          <w:tcPr>
            <w:tcW w:w="7717"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2A32BD38">
            <w:pPr>
              <w:widowControl/>
              <w:snapToGrid w:val="0"/>
              <w:ind w:firstLine="0" w:firstLineChars="0"/>
              <w:jc w:val="left"/>
              <w:textAlignment w:val="center"/>
              <w:rPr>
                <w:rFonts w:hint="eastAsia" w:ascii="宋体" w:hAnsi="Times New Roman" w:eastAsia="宋体" w:cs="宋体"/>
                <w:kern w:val="0"/>
                <w:sz w:val="21"/>
                <w:szCs w:val="21"/>
                <w:lang w:val="en-US" w:eastAsia="zh-CN" w:bidi="ar-SA"/>
              </w:rPr>
            </w:pPr>
            <w:r>
              <w:rPr>
                <w:rFonts w:hint="eastAsia" w:ascii="宋体" w:eastAsia="宋体" w:cs="宋体"/>
                <w:kern w:val="0"/>
                <w:sz w:val="21"/>
                <w:szCs w:val="21"/>
              </w:rPr>
              <w:t>本项目改造中心城区排水防涝管网及设施，主要包含：改造DN400雨水管4200米，改造DN600雨水管7850米，改造DN800雨水管2000米；改造2500*1500雨水箱涵1500米；改造5000*4000排洪沟500米；改造检查井355座，改造雨水口400座</w:t>
            </w:r>
            <w:r>
              <w:rPr>
                <w:rFonts w:hint="eastAsia" w:ascii="宋体" w:eastAsia="宋体" w:cs="宋体"/>
                <w:kern w:val="0"/>
                <w:sz w:val="21"/>
                <w:szCs w:val="21"/>
                <w:lang w:eastAsia="zh-CN"/>
              </w:rPr>
              <w:t>。</w:t>
            </w:r>
          </w:p>
        </w:tc>
        <w:tc>
          <w:tcPr>
            <w:tcW w:w="1413"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614D075F">
            <w:pPr>
              <w:widowControl/>
              <w:snapToGrid w:val="0"/>
              <w:ind w:firstLine="0" w:firstLineChars="0"/>
              <w:jc w:val="center"/>
              <w:textAlignment w:val="center"/>
              <w:rPr>
                <w:rFonts w:hint="eastAsia" w:ascii="宋体" w:hAnsi="Times New Roman" w:eastAsia="宋体" w:cs="宋体"/>
                <w:kern w:val="0"/>
                <w:sz w:val="21"/>
                <w:szCs w:val="21"/>
                <w:lang w:val="en-US" w:eastAsia="zh-CN" w:bidi="ar-SA"/>
              </w:rPr>
            </w:pPr>
            <w:r>
              <w:rPr>
                <w:rFonts w:hint="eastAsia" w:ascii="宋体" w:eastAsia="宋体" w:cs="宋体"/>
                <w:kern w:val="0"/>
                <w:sz w:val="21"/>
                <w:szCs w:val="21"/>
                <w:lang w:val="en-US" w:eastAsia="zh-CN"/>
              </w:rPr>
              <w:t>小金县</w:t>
            </w:r>
          </w:p>
        </w:tc>
        <w:tc>
          <w:tcPr>
            <w:tcW w:w="1274" w:type="dxa"/>
            <w:tcBorders>
              <w:top w:val="single" w:color="auto" w:sz="4" w:space="0"/>
              <w:left w:val="single" w:color="auto" w:sz="4" w:space="0"/>
              <w:bottom w:val="single" w:color="auto" w:sz="12" w:space="0"/>
              <w:right w:val="single" w:color="auto" w:sz="4" w:space="0"/>
            </w:tcBorders>
            <w:shd w:val="clear" w:color="auto" w:fill="auto"/>
            <w:noWrap/>
            <w:vAlign w:val="center"/>
          </w:tcPr>
          <w:p w14:paraId="00FB7530">
            <w:pPr>
              <w:widowControl/>
              <w:snapToGrid w:val="0"/>
              <w:ind w:firstLine="0" w:firstLineChars="0"/>
              <w:jc w:val="left"/>
              <w:textAlignment w:val="center"/>
              <w:rPr>
                <w:rFonts w:hint="eastAsia" w:ascii="宋体" w:hAnsi="Times New Roman" w:eastAsia="宋体" w:cs="宋体"/>
                <w:kern w:val="0"/>
                <w:sz w:val="21"/>
                <w:szCs w:val="21"/>
                <w:lang w:val="en-US" w:eastAsia="zh-CN" w:bidi="ar-SA"/>
              </w:rPr>
            </w:pPr>
            <w:r>
              <w:rPr>
                <w:rFonts w:hint="eastAsia" w:ascii="宋体" w:eastAsia="宋体" w:cs="宋体"/>
                <w:kern w:val="0"/>
                <w:sz w:val="21"/>
                <w:szCs w:val="21"/>
                <w:lang w:val="en-US" w:eastAsia="zh-CN"/>
              </w:rPr>
              <w:t>2028-2029</w:t>
            </w:r>
          </w:p>
        </w:tc>
        <w:tc>
          <w:tcPr>
            <w:tcW w:w="1244" w:type="dxa"/>
            <w:tcBorders>
              <w:top w:val="single" w:color="auto" w:sz="4" w:space="0"/>
              <w:left w:val="single" w:color="auto" w:sz="4" w:space="0"/>
              <w:bottom w:val="single" w:color="auto" w:sz="12" w:space="0"/>
              <w:right w:val="single" w:color="auto" w:sz="12" w:space="0"/>
            </w:tcBorders>
            <w:shd w:val="clear" w:color="auto" w:fill="auto"/>
            <w:noWrap/>
            <w:vAlign w:val="center"/>
          </w:tcPr>
          <w:p w14:paraId="1F9C4ACE">
            <w:pPr>
              <w:widowControl/>
              <w:snapToGrid w:val="0"/>
              <w:ind w:firstLine="0" w:firstLineChars="0"/>
              <w:jc w:val="left"/>
              <w:textAlignment w:val="center"/>
              <w:rPr>
                <w:rFonts w:hint="eastAsia" w:ascii="宋体" w:hAnsi="Times New Roman" w:eastAsia="宋体" w:cs="宋体"/>
                <w:kern w:val="0"/>
                <w:sz w:val="21"/>
                <w:szCs w:val="21"/>
                <w:lang w:val="en-US" w:eastAsia="zh-CN" w:bidi="ar-SA"/>
              </w:rPr>
            </w:pPr>
            <w:r>
              <w:rPr>
                <w:rFonts w:hint="eastAsia" w:ascii="宋体" w:eastAsia="宋体" w:cs="宋体"/>
                <w:kern w:val="0"/>
                <w:sz w:val="21"/>
                <w:szCs w:val="21"/>
                <w:lang w:val="en-US" w:eastAsia="zh-CN"/>
              </w:rPr>
              <w:t>5200</w:t>
            </w:r>
          </w:p>
        </w:tc>
      </w:tr>
    </w:tbl>
    <w:p w14:paraId="1F22E001">
      <w:pPr>
        <w:widowControl/>
        <w:snapToGrid w:val="0"/>
        <w:ind w:firstLine="0" w:firstLineChars="0"/>
        <w:jc w:val="left"/>
        <w:textAlignment w:val="center"/>
        <w:rPr>
          <w:rFonts w:ascii="宋体" w:eastAsia="宋体" w:cs="宋体"/>
          <w:kern w:val="0"/>
          <w:sz w:val="21"/>
          <w:szCs w:val="21"/>
        </w:rPr>
      </w:pPr>
    </w:p>
    <w:sectPr>
      <w:pgSz w:w="16838" w:h="11906" w:orient="landscape"/>
      <w:pgMar w:top="1800" w:right="1440" w:bottom="1800" w:left="144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8EA55B-2C80-442D-A521-B003980EAA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145F0430-6747-44AC-AA57-3DA3E48DBB4B}"/>
  </w:font>
  <w:font w:name="方正小标宋简体">
    <w:panose1 w:val="02000000000000000000"/>
    <w:charset w:val="86"/>
    <w:family w:val="script"/>
    <w:pitch w:val="default"/>
    <w:sig w:usb0="00000001" w:usb1="08000000" w:usb2="00000000" w:usb3="00000000" w:csb0="00040000" w:csb1="00000000"/>
    <w:embedRegular r:id="rId3" w:fontKey="{7657FD5A-A3AB-40E8-A9F2-1CBF3BAE921D}"/>
  </w:font>
  <w:font w:name="楷体_GB2312">
    <w:panose1 w:val="02010609030101010101"/>
    <w:charset w:val="86"/>
    <w:family w:val="modern"/>
    <w:pitch w:val="default"/>
    <w:sig w:usb0="00000001" w:usb1="080E0000" w:usb2="00000000" w:usb3="00000000" w:csb0="00040000" w:csb1="00000000"/>
    <w:embedRegular r:id="rId4" w:fontKey="{85C03E97-61FE-496B-AECA-D2DC0E5F6E98}"/>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WPSEMBED7">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AF4F3">
    <w:pPr>
      <w:pStyle w:val="18"/>
      <w:spacing w:line="240" w:lineRule="auto"/>
      <w:ind w:firstLine="420"/>
      <w:jc w:val="both"/>
      <w:rPr>
        <w:rFonts w:ascii="Times New Roman" w:cs="Times New Roman"/>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FF88B">
    <w:pPr>
      <w:pStyle w:val="1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A9CB0">
    <w:pPr>
      <w:pStyle w:val="1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cs="Times New Roman"/>
        <w:sz w:val="21"/>
        <w:szCs w:val="21"/>
      </w:rPr>
      <w:id w:val="625125303"/>
    </w:sdtPr>
    <w:sdtEndPr>
      <w:rPr>
        <w:rFonts w:ascii="Times New Roman" w:cs="Times New Roman"/>
        <w:sz w:val="21"/>
        <w:szCs w:val="21"/>
      </w:rPr>
    </w:sdtEndPr>
    <w:sdtContent>
      <w:p w14:paraId="7E8F151B">
        <w:pPr>
          <w:pStyle w:val="18"/>
          <w:spacing w:line="240" w:lineRule="auto"/>
          <w:ind w:firstLine="0" w:firstLineChars="0"/>
          <w:jc w:val="center"/>
          <w:rPr>
            <w:rFonts w:ascii="Times New Roman" w:cs="Times New Roman"/>
            <w:sz w:val="21"/>
            <w:szCs w:val="21"/>
          </w:rPr>
        </w:pPr>
        <w:r>
          <w:rPr>
            <w:rFonts w:ascii="Times New Roman" w:cs="Times New Roman"/>
            <w:sz w:val="21"/>
            <w:szCs w:val="21"/>
          </w:rPr>
          <w:fldChar w:fldCharType="begin"/>
        </w:r>
        <w:r>
          <w:rPr>
            <w:rFonts w:ascii="Times New Roman" w:cs="Times New Roman"/>
            <w:sz w:val="21"/>
            <w:szCs w:val="21"/>
          </w:rPr>
          <w:instrText xml:space="preserve">PAGE   \* MERGEFORMAT</w:instrText>
        </w:r>
        <w:r>
          <w:rPr>
            <w:rFonts w:ascii="Times New Roman" w:cs="Times New Roman"/>
            <w:sz w:val="21"/>
            <w:szCs w:val="21"/>
          </w:rPr>
          <w:fldChar w:fldCharType="separate"/>
        </w:r>
        <w:r>
          <w:rPr>
            <w:rFonts w:ascii="Times New Roman" w:cs="Times New Roman"/>
            <w:sz w:val="21"/>
            <w:szCs w:val="21"/>
            <w:lang w:val="zh-CN"/>
          </w:rPr>
          <w:t>2</w:t>
        </w:r>
        <w:r>
          <w:rPr>
            <w:rFonts w:ascii="Times New Roman" w:cs="Times New Roman"/>
            <w:sz w:val="21"/>
            <w:szCs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ind w:firstLine="640"/>
      </w:pPr>
      <w:r>
        <w:separator/>
      </w:r>
    </w:p>
  </w:footnote>
  <w:footnote w:type="continuationSeparator" w:id="3">
    <w:p>
      <w:pPr>
        <w:ind w:firstLine="640"/>
      </w:pPr>
      <w:r>
        <w:continuationSeparator/>
      </w:r>
    </w:p>
  </w:footnote>
  <w:footnote w:id="0">
    <w:p w14:paraId="337D9003">
      <w:pPr>
        <w:pStyle w:val="22"/>
        <w:ind w:firstLine="360"/>
      </w:pPr>
      <w:r>
        <w:rPr>
          <w:rStyle w:val="31"/>
        </w:rPr>
        <w:footnoteRef/>
      </w:r>
      <w:r>
        <w:t xml:space="preserve"> </w:t>
      </w:r>
      <w:r>
        <w:rPr>
          <w:rFonts w:hint="eastAsia"/>
        </w:rPr>
        <w:t>农业农村部. 农业农村部关于加快农业发展全面绿色转型促进乡村生态振兴的指导意见：农规发〔2024〕27号</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CE6D6">
    <w:pPr>
      <w:pStyle w:val="19"/>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2DBA2">
    <w:pPr>
      <w:pStyle w:val="1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23D5B">
    <w:pPr>
      <w:pStyle w:val="1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541507"/>
    <w:multiLevelType w:val="singleLevel"/>
    <w:tmpl w:val="31541507"/>
    <w:lvl w:ilvl="0" w:tentative="0">
      <w:start w:val="1"/>
      <w:numFmt w:val="decimal"/>
      <w:suff w:val="nothing"/>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embedTrueTypeFonts/>
  <w:saveSubsetFonts/>
  <w:bordersDoNotSurroundHeader w:val="1"/>
  <w:bordersDoNotSurroundFooter w:val="1"/>
  <w:trackRevisions w:val="1"/>
  <w:documentProtection w:edit="readOnly" w:enforcement="0"/>
  <w:defaultTabStop w:val="420"/>
  <w:drawingGridHorizontalSpacing w:val="160"/>
  <w:drawingGridVerticalSpacing w:val="217"/>
  <w:noPunctuationKerning w:val="1"/>
  <w:characterSpacingControl w:val="doNotCompress"/>
  <w:footnotePr>
    <w:footnote w:id="2"/>
    <w:footnote w:id="3"/>
  </w:footnotePr>
  <w:endnotePr>
    <w:endnote w:id="0"/>
    <w:endnote w:id="1"/>
  </w:endnotePr>
  <w:compat>
    <w:spaceForUL/>
    <w:doNotExpandShiftReturn/>
    <w:doNotWrapTextWithPunct/>
    <w:doNotUseEastAsianBreakRules/>
    <w:useFELayout/>
    <w:compatSetting w:name="compatibilityMode" w:uri="http://schemas.microsoft.com/office/word" w:val="14"/>
  </w:compat>
  <w:docVars>
    <w:docVar w:name="commondata" w:val="eyJoZGlkIjoiMDBkMWIwMDg4ZDdhMTdkMGMwMDJjZGI2YmEwNTRmODgifQ=="/>
  </w:docVars>
  <w:rsids>
    <w:rsidRoot w:val="009B5BD0"/>
    <w:rsid w:val="00050EBA"/>
    <w:rsid w:val="00053848"/>
    <w:rsid w:val="000D2016"/>
    <w:rsid w:val="00293131"/>
    <w:rsid w:val="00320B72"/>
    <w:rsid w:val="004C5480"/>
    <w:rsid w:val="00563BAE"/>
    <w:rsid w:val="00713D8F"/>
    <w:rsid w:val="007E27E5"/>
    <w:rsid w:val="008E10EA"/>
    <w:rsid w:val="008F3BCF"/>
    <w:rsid w:val="009B5BD0"/>
    <w:rsid w:val="00A91F1A"/>
    <w:rsid w:val="00C84172"/>
    <w:rsid w:val="00CD197C"/>
    <w:rsid w:val="00DD7FB2"/>
    <w:rsid w:val="00F919E8"/>
    <w:rsid w:val="01B446F6"/>
    <w:rsid w:val="01C25044"/>
    <w:rsid w:val="02B50900"/>
    <w:rsid w:val="04882551"/>
    <w:rsid w:val="04906F0D"/>
    <w:rsid w:val="050F3BA7"/>
    <w:rsid w:val="051D54A9"/>
    <w:rsid w:val="05257DE5"/>
    <w:rsid w:val="05706B86"/>
    <w:rsid w:val="05846513"/>
    <w:rsid w:val="05D267DA"/>
    <w:rsid w:val="0602180F"/>
    <w:rsid w:val="060F009B"/>
    <w:rsid w:val="06105C5C"/>
    <w:rsid w:val="065B15E4"/>
    <w:rsid w:val="06E65352"/>
    <w:rsid w:val="07043A2A"/>
    <w:rsid w:val="07067916"/>
    <w:rsid w:val="074E1DB6"/>
    <w:rsid w:val="08412FA1"/>
    <w:rsid w:val="08597215"/>
    <w:rsid w:val="091D7025"/>
    <w:rsid w:val="0A0501E5"/>
    <w:rsid w:val="0ABD08DF"/>
    <w:rsid w:val="0B4C4FBF"/>
    <w:rsid w:val="0B6D7E4A"/>
    <w:rsid w:val="0B776EC0"/>
    <w:rsid w:val="0C087B18"/>
    <w:rsid w:val="0C590DDC"/>
    <w:rsid w:val="0CF20A1C"/>
    <w:rsid w:val="0D0E115E"/>
    <w:rsid w:val="0DAE37C1"/>
    <w:rsid w:val="0DDB4AC6"/>
    <w:rsid w:val="0DF2455B"/>
    <w:rsid w:val="0DFD66B2"/>
    <w:rsid w:val="0E9C09EC"/>
    <w:rsid w:val="0EB30147"/>
    <w:rsid w:val="0F4E1CE6"/>
    <w:rsid w:val="0F662178"/>
    <w:rsid w:val="0F8B4CE8"/>
    <w:rsid w:val="0FD06B9F"/>
    <w:rsid w:val="0FE65765"/>
    <w:rsid w:val="100A02F0"/>
    <w:rsid w:val="11AE4CBE"/>
    <w:rsid w:val="11B51BEC"/>
    <w:rsid w:val="123416DD"/>
    <w:rsid w:val="12B04A66"/>
    <w:rsid w:val="12B40D97"/>
    <w:rsid w:val="12EC2D08"/>
    <w:rsid w:val="131F7D27"/>
    <w:rsid w:val="14467CEA"/>
    <w:rsid w:val="14BD2579"/>
    <w:rsid w:val="14CD31AF"/>
    <w:rsid w:val="15B8435D"/>
    <w:rsid w:val="163C6D3C"/>
    <w:rsid w:val="16421E79"/>
    <w:rsid w:val="1645621A"/>
    <w:rsid w:val="177D2654"/>
    <w:rsid w:val="17A408BB"/>
    <w:rsid w:val="1808018C"/>
    <w:rsid w:val="18090EA0"/>
    <w:rsid w:val="188C387F"/>
    <w:rsid w:val="19A22210"/>
    <w:rsid w:val="19B17A41"/>
    <w:rsid w:val="19D63004"/>
    <w:rsid w:val="1A5477D0"/>
    <w:rsid w:val="1AF5284A"/>
    <w:rsid w:val="1B2A271F"/>
    <w:rsid w:val="1C220989"/>
    <w:rsid w:val="1C5B5A42"/>
    <w:rsid w:val="1C5E5533"/>
    <w:rsid w:val="1C5F5278"/>
    <w:rsid w:val="1C672454"/>
    <w:rsid w:val="1C866299"/>
    <w:rsid w:val="1CB54696"/>
    <w:rsid w:val="1D2422D8"/>
    <w:rsid w:val="1DC13718"/>
    <w:rsid w:val="1E234E5B"/>
    <w:rsid w:val="1E460F29"/>
    <w:rsid w:val="1E7E3C6A"/>
    <w:rsid w:val="1EDC23DC"/>
    <w:rsid w:val="1EFA27F1"/>
    <w:rsid w:val="1F0423C1"/>
    <w:rsid w:val="1F260856"/>
    <w:rsid w:val="1FF87B20"/>
    <w:rsid w:val="206A55B3"/>
    <w:rsid w:val="20751FE1"/>
    <w:rsid w:val="21076199"/>
    <w:rsid w:val="21366C21"/>
    <w:rsid w:val="215D76CB"/>
    <w:rsid w:val="21B300CF"/>
    <w:rsid w:val="22394A78"/>
    <w:rsid w:val="22A719E1"/>
    <w:rsid w:val="24DB3BC4"/>
    <w:rsid w:val="25A03B48"/>
    <w:rsid w:val="25A6043E"/>
    <w:rsid w:val="25B5323B"/>
    <w:rsid w:val="25B61F3B"/>
    <w:rsid w:val="264D55B5"/>
    <w:rsid w:val="26AF3338"/>
    <w:rsid w:val="26C436A5"/>
    <w:rsid w:val="271A0FDD"/>
    <w:rsid w:val="27463F98"/>
    <w:rsid w:val="281500E5"/>
    <w:rsid w:val="28B332AA"/>
    <w:rsid w:val="28EA2628"/>
    <w:rsid w:val="29005245"/>
    <w:rsid w:val="29B5077A"/>
    <w:rsid w:val="2A1F4553"/>
    <w:rsid w:val="2A3650F3"/>
    <w:rsid w:val="2AAF138F"/>
    <w:rsid w:val="2ACF7D27"/>
    <w:rsid w:val="2AD510B6"/>
    <w:rsid w:val="2BE87AAD"/>
    <w:rsid w:val="2CC17B44"/>
    <w:rsid w:val="2CE8063C"/>
    <w:rsid w:val="2D364A63"/>
    <w:rsid w:val="2D6F134E"/>
    <w:rsid w:val="2F165785"/>
    <w:rsid w:val="2F5277B1"/>
    <w:rsid w:val="302E23CE"/>
    <w:rsid w:val="31050E0D"/>
    <w:rsid w:val="31976128"/>
    <w:rsid w:val="332930F1"/>
    <w:rsid w:val="33E505BB"/>
    <w:rsid w:val="343155AF"/>
    <w:rsid w:val="345611ED"/>
    <w:rsid w:val="34BD6E42"/>
    <w:rsid w:val="35651F2A"/>
    <w:rsid w:val="3615679D"/>
    <w:rsid w:val="36B46115"/>
    <w:rsid w:val="36DA1DD6"/>
    <w:rsid w:val="37123536"/>
    <w:rsid w:val="376A7D63"/>
    <w:rsid w:val="37836223"/>
    <w:rsid w:val="38304CCF"/>
    <w:rsid w:val="38653A79"/>
    <w:rsid w:val="391D762F"/>
    <w:rsid w:val="39586E34"/>
    <w:rsid w:val="397321C6"/>
    <w:rsid w:val="39736B31"/>
    <w:rsid w:val="397F0B6A"/>
    <w:rsid w:val="39BC591B"/>
    <w:rsid w:val="3A7E4261"/>
    <w:rsid w:val="3A9E14C4"/>
    <w:rsid w:val="3B0B337B"/>
    <w:rsid w:val="3B624FFE"/>
    <w:rsid w:val="3B661580"/>
    <w:rsid w:val="3B882D4D"/>
    <w:rsid w:val="3B976272"/>
    <w:rsid w:val="3B993D9A"/>
    <w:rsid w:val="3BF205BD"/>
    <w:rsid w:val="3C0A6DFD"/>
    <w:rsid w:val="3C13220A"/>
    <w:rsid w:val="3C65673D"/>
    <w:rsid w:val="3CCA2A44"/>
    <w:rsid w:val="3D3848DA"/>
    <w:rsid w:val="3D810976"/>
    <w:rsid w:val="3E167F54"/>
    <w:rsid w:val="3E6454BC"/>
    <w:rsid w:val="3E860224"/>
    <w:rsid w:val="3F9503E1"/>
    <w:rsid w:val="3FAB05FE"/>
    <w:rsid w:val="40561BAC"/>
    <w:rsid w:val="40C11B93"/>
    <w:rsid w:val="42C958B7"/>
    <w:rsid w:val="431C567C"/>
    <w:rsid w:val="43305354"/>
    <w:rsid w:val="433A4925"/>
    <w:rsid w:val="4396635A"/>
    <w:rsid w:val="43B12268"/>
    <w:rsid w:val="43C445F6"/>
    <w:rsid w:val="43DD2E53"/>
    <w:rsid w:val="440F4D37"/>
    <w:rsid w:val="44C164DB"/>
    <w:rsid w:val="455A7A4E"/>
    <w:rsid w:val="460F0724"/>
    <w:rsid w:val="474451A1"/>
    <w:rsid w:val="474C2DD7"/>
    <w:rsid w:val="478B2819"/>
    <w:rsid w:val="47984F1D"/>
    <w:rsid w:val="48C52312"/>
    <w:rsid w:val="4A050C18"/>
    <w:rsid w:val="4A180EDB"/>
    <w:rsid w:val="4A1E7F2C"/>
    <w:rsid w:val="4A6F4581"/>
    <w:rsid w:val="4ADE308A"/>
    <w:rsid w:val="4B9116B4"/>
    <w:rsid w:val="4BB328F5"/>
    <w:rsid w:val="4C064327"/>
    <w:rsid w:val="4C324B63"/>
    <w:rsid w:val="4C6D6562"/>
    <w:rsid w:val="4CB63DAC"/>
    <w:rsid w:val="4CE1687D"/>
    <w:rsid w:val="4CF37072"/>
    <w:rsid w:val="4CF811A0"/>
    <w:rsid w:val="4DF06B51"/>
    <w:rsid w:val="4E7B05CC"/>
    <w:rsid w:val="4E9C0547"/>
    <w:rsid w:val="4EBD5F65"/>
    <w:rsid w:val="4F8B7E11"/>
    <w:rsid w:val="4FC752D7"/>
    <w:rsid w:val="4FD3017A"/>
    <w:rsid w:val="50A54B4F"/>
    <w:rsid w:val="511C4B20"/>
    <w:rsid w:val="52AB1BAD"/>
    <w:rsid w:val="52AD099A"/>
    <w:rsid w:val="52B212E8"/>
    <w:rsid w:val="54052ACA"/>
    <w:rsid w:val="54B215A2"/>
    <w:rsid w:val="54DC4C6B"/>
    <w:rsid w:val="54E0475B"/>
    <w:rsid w:val="54F66E16"/>
    <w:rsid w:val="55256612"/>
    <w:rsid w:val="55376345"/>
    <w:rsid w:val="553E5926"/>
    <w:rsid w:val="55CA4A35"/>
    <w:rsid w:val="563034C0"/>
    <w:rsid w:val="56B01C19"/>
    <w:rsid w:val="57144B90"/>
    <w:rsid w:val="578E31B9"/>
    <w:rsid w:val="57AF48B9"/>
    <w:rsid w:val="57B91294"/>
    <w:rsid w:val="582235D0"/>
    <w:rsid w:val="588D2DD7"/>
    <w:rsid w:val="58C3116E"/>
    <w:rsid w:val="599124C8"/>
    <w:rsid w:val="59914E4A"/>
    <w:rsid w:val="59EA2BD2"/>
    <w:rsid w:val="5A366BCB"/>
    <w:rsid w:val="5A422A78"/>
    <w:rsid w:val="5B296E65"/>
    <w:rsid w:val="5B2B24A8"/>
    <w:rsid w:val="5B6A334F"/>
    <w:rsid w:val="5B70383A"/>
    <w:rsid w:val="5B8207A1"/>
    <w:rsid w:val="5B996660"/>
    <w:rsid w:val="5BF01F18"/>
    <w:rsid w:val="5BF705DC"/>
    <w:rsid w:val="5CE45005"/>
    <w:rsid w:val="5D62278B"/>
    <w:rsid w:val="5E1809F6"/>
    <w:rsid w:val="5E3B39DE"/>
    <w:rsid w:val="5F75009A"/>
    <w:rsid w:val="5FEF2237"/>
    <w:rsid w:val="5FF750B4"/>
    <w:rsid w:val="6128662D"/>
    <w:rsid w:val="61CE1DDF"/>
    <w:rsid w:val="62002A68"/>
    <w:rsid w:val="62126170"/>
    <w:rsid w:val="62AF3D96"/>
    <w:rsid w:val="62FB73E0"/>
    <w:rsid w:val="630622FD"/>
    <w:rsid w:val="63846BFA"/>
    <w:rsid w:val="638F71D4"/>
    <w:rsid w:val="645944B6"/>
    <w:rsid w:val="656A2FEF"/>
    <w:rsid w:val="66135D17"/>
    <w:rsid w:val="66C51D2B"/>
    <w:rsid w:val="67D941DB"/>
    <w:rsid w:val="67F87BB6"/>
    <w:rsid w:val="689304E8"/>
    <w:rsid w:val="693B5FAC"/>
    <w:rsid w:val="6991693E"/>
    <w:rsid w:val="6A692EF5"/>
    <w:rsid w:val="6AB6190B"/>
    <w:rsid w:val="6AE57F14"/>
    <w:rsid w:val="6D040915"/>
    <w:rsid w:val="6D1E0375"/>
    <w:rsid w:val="6D350F65"/>
    <w:rsid w:val="6DF37746"/>
    <w:rsid w:val="6E292E16"/>
    <w:rsid w:val="6E480B7B"/>
    <w:rsid w:val="6EBC193D"/>
    <w:rsid w:val="6F556011"/>
    <w:rsid w:val="70274EC8"/>
    <w:rsid w:val="70500072"/>
    <w:rsid w:val="7152051B"/>
    <w:rsid w:val="71867FE1"/>
    <w:rsid w:val="71EA5EF0"/>
    <w:rsid w:val="722815B7"/>
    <w:rsid w:val="72873175"/>
    <w:rsid w:val="72A66B8C"/>
    <w:rsid w:val="730833A3"/>
    <w:rsid w:val="73287A74"/>
    <w:rsid w:val="732B0F03"/>
    <w:rsid w:val="733C0236"/>
    <w:rsid w:val="7440173D"/>
    <w:rsid w:val="744E3F1B"/>
    <w:rsid w:val="75656C30"/>
    <w:rsid w:val="75A54855"/>
    <w:rsid w:val="75C7203D"/>
    <w:rsid w:val="75E84028"/>
    <w:rsid w:val="7768768E"/>
    <w:rsid w:val="7791148D"/>
    <w:rsid w:val="77923005"/>
    <w:rsid w:val="77B47EBD"/>
    <w:rsid w:val="77D5273D"/>
    <w:rsid w:val="784D7B74"/>
    <w:rsid w:val="794269D6"/>
    <w:rsid w:val="794D1059"/>
    <w:rsid w:val="79532E9E"/>
    <w:rsid w:val="7A033EB1"/>
    <w:rsid w:val="7A0C674C"/>
    <w:rsid w:val="7A1947DF"/>
    <w:rsid w:val="7A275136"/>
    <w:rsid w:val="7A2C2D9C"/>
    <w:rsid w:val="7A652E89"/>
    <w:rsid w:val="7B252618"/>
    <w:rsid w:val="7B5C32A8"/>
    <w:rsid w:val="7B77701F"/>
    <w:rsid w:val="7BB27B12"/>
    <w:rsid w:val="7C7E5000"/>
    <w:rsid w:val="7CD808E6"/>
    <w:rsid w:val="7CFE77F1"/>
    <w:rsid w:val="7D050953"/>
    <w:rsid w:val="7E651A67"/>
    <w:rsid w:val="7E680A03"/>
    <w:rsid w:val="7E8E2C1E"/>
    <w:rsid w:val="7F1C61E1"/>
    <w:rsid w:val="7F7C51F4"/>
    <w:rsid w:val="7FA6169F"/>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50" w:beforeLines="50" w:after="50" w:afterLines="50" w:line="600" w:lineRule="exact"/>
      <w:ind w:firstLine="0" w:firstLineChars="0"/>
      <w:jc w:val="center"/>
      <w:outlineLvl w:val="0"/>
    </w:pPr>
    <w:rPr>
      <w:rFonts w:eastAsia="方正小标宋简体"/>
      <w:bCs/>
      <w:kern w:val="44"/>
      <w:sz w:val="36"/>
      <w:szCs w:val="44"/>
    </w:rPr>
  </w:style>
  <w:style w:type="paragraph" w:styleId="4">
    <w:name w:val="heading 2"/>
    <w:basedOn w:val="1"/>
    <w:next w:val="1"/>
    <w:qFormat/>
    <w:uiPriority w:val="0"/>
    <w:pPr>
      <w:keepNext/>
      <w:keepLines/>
      <w:spacing w:before="50" w:beforeLines="50" w:after="50" w:afterLines="50" w:line="600" w:lineRule="exact"/>
      <w:ind w:firstLine="0" w:firstLineChars="0"/>
      <w:jc w:val="center"/>
      <w:outlineLvl w:val="1"/>
    </w:pPr>
    <w:rPr>
      <w:rFonts w:eastAsia="楷体_GB2312"/>
      <w:b/>
      <w:bCs/>
      <w:szCs w:val="32"/>
    </w:rPr>
  </w:style>
  <w:style w:type="paragraph" w:styleId="5">
    <w:name w:val="heading 3"/>
    <w:basedOn w:val="1"/>
    <w:next w:val="1"/>
    <w:qFormat/>
    <w:uiPriority w:val="0"/>
    <w:pPr>
      <w:keepNext/>
      <w:keepLines/>
      <w:outlineLvl w:val="2"/>
    </w:pPr>
    <w:rPr>
      <w:b/>
      <w:bCs/>
      <w:szCs w:val="32"/>
    </w:rPr>
  </w:style>
  <w:style w:type="paragraph" w:styleId="6">
    <w:name w:val="heading 4"/>
    <w:basedOn w:val="1"/>
    <w:next w:val="1"/>
    <w:qFormat/>
    <w:uiPriority w:val="0"/>
    <w:pPr>
      <w:keepNext/>
      <w:keepLines/>
      <w:spacing w:before="80" w:after="40"/>
      <w:outlineLvl w:val="3"/>
    </w:pPr>
    <w:rPr>
      <w:rFonts w:ascii="等线" w:eastAsia="等线"/>
      <w:color w:val="104862"/>
      <w:sz w:val="28"/>
      <w:szCs w:val="28"/>
    </w:rPr>
  </w:style>
  <w:style w:type="paragraph" w:styleId="7">
    <w:name w:val="heading 5"/>
    <w:basedOn w:val="1"/>
    <w:next w:val="1"/>
    <w:qFormat/>
    <w:uiPriority w:val="0"/>
    <w:pPr>
      <w:keepNext/>
      <w:keepLines/>
      <w:spacing w:before="80" w:after="40"/>
      <w:outlineLvl w:val="4"/>
    </w:pPr>
    <w:rPr>
      <w:rFonts w:ascii="等线" w:eastAsia="等线"/>
      <w:color w:val="104862"/>
      <w:sz w:val="24"/>
    </w:rPr>
  </w:style>
  <w:style w:type="paragraph" w:styleId="8">
    <w:name w:val="heading 6"/>
    <w:basedOn w:val="1"/>
    <w:next w:val="1"/>
    <w:qFormat/>
    <w:uiPriority w:val="0"/>
    <w:pPr>
      <w:keepNext/>
      <w:keepLines/>
      <w:spacing w:before="40"/>
      <w:outlineLvl w:val="5"/>
    </w:pPr>
    <w:rPr>
      <w:rFonts w:ascii="等线" w:eastAsia="等线"/>
      <w:b/>
      <w:bCs/>
      <w:color w:val="104862"/>
    </w:rPr>
  </w:style>
  <w:style w:type="paragraph" w:styleId="9">
    <w:name w:val="heading 7"/>
    <w:basedOn w:val="1"/>
    <w:next w:val="1"/>
    <w:qFormat/>
    <w:uiPriority w:val="0"/>
    <w:pPr>
      <w:keepNext/>
      <w:keepLines/>
      <w:spacing w:before="40"/>
      <w:outlineLvl w:val="6"/>
    </w:pPr>
    <w:rPr>
      <w:rFonts w:ascii="等线" w:eastAsia="等线"/>
      <w:b/>
      <w:bCs/>
      <w:color w:val="595959"/>
    </w:rPr>
  </w:style>
  <w:style w:type="paragraph" w:styleId="10">
    <w:name w:val="heading 8"/>
    <w:basedOn w:val="1"/>
    <w:next w:val="1"/>
    <w:qFormat/>
    <w:uiPriority w:val="0"/>
    <w:pPr>
      <w:keepNext/>
      <w:keepLines/>
      <w:outlineLvl w:val="7"/>
    </w:pPr>
    <w:rPr>
      <w:rFonts w:ascii="等线" w:eastAsia="等线"/>
      <w:color w:val="595959"/>
    </w:rPr>
  </w:style>
  <w:style w:type="paragraph" w:styleId="11">
    <w:name w:val="heading 9"/>
    <w:basedOn w:val="1"/>
    <w:next w:val="1"/>
    <w:qFormat/>
    <w:uiPriority w:val="0"/>
    <w:pPr>
      <w:keepNext/>
      <w:keepLines/>
      <w:outlineLvl w:val="8"/>
    </w:pPr>
    <w:rPr>
      <w:rFonts w:ascii="等线" w:hAnsi="等线" w:eastAsia="等线 Light"/>
      <w:color w:val="595959"/>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style>
  <w:style w:type="paragraph" w:styleId="12">
    <w:name w:val="Normal Indent"/>
    <w:basedOn w:val="1"/>
    <w:next w:val="1"/>
    <w:qFormat/>
    <w:uiPriority w:val="0"/>
  </w:style>
  <w:style w:type="paragraph" w:styleId="13">
    <w:name w:val="Document Map"/>
    <w:basedOn w:val="1"/>
    <w:qFormat/>
    <w:uiPriority w:val="0"/>
    <w:rPr>
      <w:rFonts w:ascii="宋体" w:eastAsia="宋体"/>
      <w:sz w:val="18"/>
      <w:szCs w:val="18"/>
    </w:rPr>
  </w:style>
  <w:style w:type="paragraph" w:styleId="14">
    <w:name w:val="annotation text"/>
    <w:basedOn w:val="1"/>
    <w:qFormat/>
    <w:uiPriority w:val="0"/>
    <w:pPr>
      <w:jc w:val="left"/>
    </w:pPr>
  </w:style>
  <w:style w:type="paragraph" w:styleId="15">
    <w:name w:val="Body Text"/>
    <w:basedOn w:val="1"/>
    <w:qFormat/>
    <w:uiPriority w:val="0"/>
    <w:pPr>
      <w:spacing w:after="120"/>
    </w:pPr>
  </w:style>
  <w:style w:type="paragraph" w:styleId="16">
    <w:name w:val="toc 3"/>
    <w:basedOn w:val="1"/>
    <w:next w:val="1"/>
    <w:autoRedefine/>
    <w:qFormat/>
    <w:uiPriority w:val="0"/>
    <w:pPr>
      <w:ind w:left="400" w:leftChars="400"/>
    </w:pPr>
  </w:style>
  <w:style w:type="paragraph" w:styleId="17">
    <w:name w:val="Balloon Text"/>
    <w:basedOn w:val="1"/>
    <w:qFormat/>
    <w:uiPriority w:val="0"/>
    <w:rPr>
      <w:sz w:val="18"/>
      <w:szCs w:val="18"/>
    </w:rPr>
  </w:style>
  <w:style w:type="paragraph" w:styleId="18">
    <w:name w:val="footer"/>
    <w:basedOn w:val="1"/>
    <w:link w:val="46"/>
    <w:qFormat/>
    <w:uiPriority w:val="99"/>
    <w:pPr>
      <w:tabs>
        <w:tab w:val="center" w:pos="4153"/>
        <w:tab w:val="right" w:pos="8306"/>
      </w:tabs>
      <w:snapToGrid w:val="0"/>
      <w:spacing w:line="360" w:lineRule="auto"/>
      <w:jc w:val="left"/>
    </w:pPr>
    <w:rPr>
      <w:rFonts w:ascii="等线" w:eastAsia="等线" w:cs="Arial"/>
      <w:sz w:val="18"/>
      <w:szCs w:val="18"/>
    </w:rPr>
  </w:style>
  <w:style w:type="paragraph" w:styleId="19">
    <w:name w:val="header"/>
    <w:basedOn w:val="1"/>
    <w:qFormat/>
    <w:uiPriority w:val="0"/>
    <w:pPr>
      <w:pBdr>
        <w:bottom w:val="single" w:color="auto" w:sz="6" w:space="1"/>
      </w:pBdr>
      <w:tabs>
        <w:tab w:val="center" w:pos="4153"/>
        <w:tab w:val="right" w:pos="8306"/>
      </w:tabs>
      <w:snapToGrid w:val="0"/>
      <w:spacing w:line="360" w:lineRule="auto"/>
      <w:jc w:val="center"/>
    </w:pPr>
    <w:rPr>
      <w:rFonts w:ascii="等线" w:eastAsia="等线" w:cs="Arial"/>
      <w:sz w:val="18"/>
      <w:szCs w:val="18"/>
    </w:rPr>
  </w:style>
  <w:style w:type="paragraph" w:styleId="20">
    <w:name w:val="toc 1"/>
    <w:basedOn w:val="1"/>
    <w:next w:val="1"/>
    <w:autoRedefine/>
    <w:qFormat/>
    <w:uiPriority w:val="39"/>
  </w:style>
  <w:style w:type="paragraph" w:styleId="21">
    <w:name w:val="Subtitle"/>
    <w:basedOn w:val="1"/>
    <w:next w:val="1"/>
    <w:qFormat/>
    <w:uiPriority w:val="0"/>
    <w:pPr>
      <w:spacing w:after="160"/>
      <w:jc w:val="center"/>
    </w:pPr>
    <w:rPr>
      <w:rFonts w:ascii="等线 Light" w:eastAsia="等线 Light"/>
      <w:color w:val="595959"/>
      <w:spacing w:val="15"/>
      <w:sz w:val="28"/>
      <w:szCs w:val="28"/>
    </w:rPr>
  </w:style>
  <w:style w:type="paragraph" w:styleId="22">
    <w:name w:val="footnote text"/>
    <w:basedOn w:val="1"/>
    <w:qFormat/>
    <w:uiPriority w:val="0"/>
    <w:pPr>
      <w:snapToGrid w:val="0"/>
      <w:jc w:val="left"/>
    </w:pPr>
    <w:rPr>
      <w:sz w:val="18"/>
    </w:rPr>
  </w:style>
  <w:style w:type="paragraph" w:styleId="23">
    <w:name w:val="toc 2"/>
    <w:basedOn w:val="1"/>
    <w:next w:val="1"/>
    <w:autoRedefine/>
    <w:qFormat/>
    <w:uiPriority w:val="39"/>
    <w:pPr>
      <w:ind w:left="200" w:leftChars="200"/>
    </w:pPr>
  </w:style>
  <w:style w:type="paragraph" w:styleId="2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rPr>
  </w:style>
  <w:style w:type="paragraph" w:styleId="25">
    <w:name w:val="Title"/>
    <w:basedOn w:val="1"/>
    <w:next w:val="1"/>
    <w:qFormat/>
    <w:uiPriority w:val="0"/>
    <w:pPr>
      <w:spacing w:after="80"/>
      <w:contextualSpacing/>
      <w:jc w:val="center"/>
    </w:pPr>
    <w:rPr>
      <w:rFonts w:ascii="等线 Light" w:eastAsia="等线 Light"/>
      <w:spacing w:val="-10"/>
      <w:kern w:val="28"/>
      <w:sz w:val="56"/>
      <w:szCs w:val="56"/>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Hyperlink"/>
    <w:basedOn w:val="28"/>
    <w:qFormat/>
    <w:uiPriority w:val="99"/>
    <w:rPr>
      <w:color w:val="467886"/>
      <w:u w:val="single"/>
    </w:rPr>
  </w:style>
  <w:style w:type="character" w:styleId="31">
    <w:name w:val="footnote reference"/>
    <w:basedOn w:val="28"/>
    <w:qFormat/>
    <w:uiPriority w:val="0"/>
    <w:rPr>
      <w:vertAlign w:val="superscript"/>
    </w:rPr>
  </w:style>
  <w:style w:type="paragraph" w:customStyle="1" w:styleId="32">
    <w:name w:val="表格1"/>
    <w:basedOn w:val="1"/>
    <w:qFormat/>
    <w:uiPriority w:val="0"/>
  </w:style>
  <w:style w:type="paragraph" w:customStyle="1" w:styleId="33">
    <w:name w:val="表格"/>
    <w:basedOn w:val="1"/>
    <w:qFormat/>
    <w:uiPriority w:val="0"/>
    <w:pPr>
      <w:framePr w:hSpace="180" w:wrap="around" w:vAnchor="page" w:hAnchor="margin" w:y="1860"/>
      <w:adjustRightInd w:val="0"/>
      <w:snapToGrid w:val="0"/>
    </w:pPr>
  </w:style>
  <w:style w:type="paragraph" w:customStyle="1" w:styleId="34">
    <w:name w:val="重点工程样式"/>
    <w:basedOn w:val="1"/>
    <w:qFormat/>
    <w:uiPriority w:val="0"/>
  </w:style>
  <w:style w:type="paragraph" w:styleId="35">
    <w:name w:val="No Spacing"/>
    <w:qFormat/>
    <w:uiPriority w:val="0"/>
    <w:pPr>
      <w:widowControl w:val="0"/>
      <w:spacing w:before="60" w:after="60"/>
      <w:jc w:val="center"/>
      <w:outlineLvl w:val="4"/>
    </w:pPr>
    <w:rPr>
      <w:rFonts w:ascii="Times New Roman" w:hAnsi="Times New Roman" w:eastAsia="黑体" w:cs="Arial"/>
      <w:kern w:val="2"/>
      <w:sz w:val="21"/>
      <w:szCs w:val="21"/>
      <w:lang w:val="en-US" w:eastAsia="zh-CN" w:bidi="ar-SA"/>
    </w:rPr>
  </w:style>
  <w:style w:type="paragraph" w:styleId="36">
    <w:name w:val="Quote"/>
    <w:basedOn w:val="1"/>
    <w:next w:val="1"/>
    <w:qFormat/>
    <w:uiPriority w:val="0"/>
    <w:pPr>
      <w:spacing w:before="160" w:after="160"/>
      <w:jc w:val="center"/>
    </w:pPr>
    <w:rPr>
      <w:i/>
      <w:iCs/>
      <w:color w:val="404040"/>
    </w:rPr>
  </w:style>
  <w:style w:type="paragraph" w:styleId="37">
    <w:name w:val="List Paragraph"/>
    <w:basedOn w:val="1"/>
    <w:qFormat/>
    <w:uiPriority w:val="0"/>
    <w:pPr>
      <w:ind w:left="720"/>
      <w:contextualSpacing/>
    </w:pPr>
  </w:style>
  <w:style w:type="character" w:customStyle="1" w:styleId="38">
    <w:name w:val="明显强调1"/>
    <w:basedOn w:val="28"/>
    <w:qFormat/>
    <w:uiPriority w:val="0"/>
    <w:rPr>
      <w:i/>
      <w:iCs/>
      <w:color w:val="104862"/>
    </w:rPr>
  </w:style>
  <w:style w:type="paragraph" w:styleId="39">
    <w:name w:val="Intense Quote"/>
    <w:basedOn w:val="1"/>
    <w:next w:val="1"/>
    <w:qFormat/>
    <w:uiPriority w:val="0"/>
    <w:pPr>
      <w:pBdr>
        <w:top w:val="single" w:color="0F4761" w:sz="4" w:space="10"/>
        <w:bottom w:val="single" w:color="0F4761" w:sz="4" w:space="10"/>
      </w:pBdr>
      <w:spacing w:before="360" w:after="360"/>
      <w:ind w:left="864" w:right="864"/>
      <w:jc w:val="center"/>
    </w:pPr>
    <w:rPr>
      <w:i/>
      <w:iCs/>
      <w:color w:val="104862"/>
    </w:rPr>
  </w:style>
  <w:style w:type="character" w:customStyle="1" w:styleId="40">
    <w:name w:val="明显参考1"/>
    <w:basedOn w:val="28"/>
    <w:qFormat/>
    <w:uiPriority w:val="0"/>
    <w:rPr>
      <w:b/>
      <w:bCs/>
      <w:smallCaps/>
      <w:color w:val="104862"/>
      <w:spacing w:val="5"/>
    </w:rPr>
  </w:style>
  <w:style w:type="paragraph" w:customStyle="1" w:styleId="41">
    <w:name w:val="表头"/>
    <w:basedOn w:val="1"/>
    <w:qFormat/>
    <w:uiPriority w:val="0"/>
    <w:pPr>
      <w:spacing w:before="60" w:after="60" w:line="360" w:lineRule="auto"/>
      <w:jc w:val="center"/>
    </w:pPr>
    <w:rPr>
      <w:rFonts w:eastAsia="黑体"/>
      <w:b/>
      <w:sz w:val="21"/>
      <w:szCs w:val="22"/>
    </w:rPr>
  </w:style>
  <w:style w:type="paragraph" w:customStyle="1" w:styleId="42">
    <w:name w:val="TOC 标题1"/>
    <w:basedOn w:val="3"/>
    <w:next w:val="1"/>
    <w:qFormat/>
    <w:uiPriority w:val="0"/>
    <w:pPr>
      <w:widowControl/>
      <w:spacing w:before="480" w:line="276" w:lineRule="auto"/>
      <w:jc w:val="left"/>
      <w:outlineLvl w:val="9"/>
    </w:pPr>
    <w:rPr>
      <w:rFonts w:ascii="等线 Light" w:eastAsia="等线 Light"/>
      <w:b/>
      <w:color w:val="104862"/>
      <w:kern w:val="0"/>
      <w:sz w:val="28"/>
      <w:szCs w:val="28"/>
    </w:rPr>
  </w:style>
  <w:style w:type="character" w:customStyle="1" w:styleId="43">
    <w:name w:val="font31"/>
    <w:basedOn w:val="28"/>
    <w:qFormat/>
    <w:uiPriority w:val="0"/>
    <w:rPr>
      <w:rFonts w:ascii="仿宋_GB2312" w:eastAsia="仿宋_GB2312" w:cs="仿宋_GB2312"/>
      <w:color w:val="FF0000"/>
      <w:sz w:val="28"/>
      <w:szCs w:val="28"/>
      <w:u w:val="none"/>
    </w:rPr>
  </w:style>
  <w:style w:type="character" w:customStyle="1" w:styleId="44">
    <w:name w:val="font11"/>
    <w:basedOn w:val="28"/>
    <w:qFormat/>
    <w:uiPriority w:val="0"/>
    <w:rPr>
      <w:rFonts w:ascii="仿宋_GB2312" w:eastAsia="仿宋_GB2312" w:cs="仿宋_GB2312"/>
      <w:color w:val="000000"/>
      <w:sz w:val="28"/>
      <w:szCs w:val="28"/>
      <w:u w:val="none"/>
    </w:rPr>
  </w:style>
  <w:style w:type="paragraph" w:customStyle="1" w:styleId="45">
    <w:name w:val="正文2"/>
    <w:basedOn w:val="1"/>
    <w:next w:val="1"/>
    <w:qFormat/>
    <w:uiPriority w:val="0"/>
    <w:rPr>
      <w:rFonts w:ascii="仿宋_GB2312"/>
      <w:szCs w:val="20"/>
    </w:rPr>
  </w:style>
  <w:style w:type="character" w:customStyle="1" w:styleId="46">
    <w:name w:val="页脚 字符"/>
    <w:basedOn w:val="28"/>
    <w:link w:val="18"/>
    <w:qFormat/>
    <w:uiPriority w:val="99"/>
    <w:rPr>
      <w:rFonts w:ascii="等线" w:eastAsia="等线" w:cs="Arial"/>
      <w:kern w:val="2"/>
      <w:sz w:val="18"/>
      <w:szCs w:val="18"/>
    </w:rPr>
  </w:style>
  <w:style w:type="character" w:customStyle="1" w:styleId="47">
    <w:name w:val="font21"/>
    <w:basedOn w:val="28"/>
    <w:qFormat/>
    <w:uiPriority w:val="0"/>
    <w:rPr>
      <w:rFonts w:hint="default" w:ascii="Times New Roman" w:hAnsi="Times New Roman" w:cs="Times New Roman"/>
      <w:color w:val="000000"/>
      <w:sz w:val="28"/>
      <w:szCs w:val="28"/>
      <w:u w:val="none"/>
    </w:rPr>
  </w:style>
  <w:style w:type="character" w:customStyle="1" w:styleId="48">
    <w:name w:val="font41"/>
    <w:basedOn w:val="28"/>
    <w:qFormat/>
    <w:uiPriority w:val="0"/>
    <w:rPr>
      <w:rFonts w:hint="default" w:ascii="Times New Roman" w:hAnsi="Times New Roman" w:cs="Times New Roman"/>
      <w:color w:val="000000"/>
      <w:sz w:val="28"/>
      <w:szCs w:val="28"/>
      <w:u w:val="none"/>
    </w:rPr>
  </w:style>
  <w:style w:type="character" w:customStyle="1" w:styleId="49">
    <w:name w:val="font51"/>
    <w:basedOn w:val="28"/>
    <w:qFormat/>
    <w:uiPriority w:val="0"/>
    <w:rPr>
      <w:rFonts w:ascii="Arial" w:hAnsi="Arial" w:cs="Arial"/>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e91f1aa0-60b6-463c-9346-d2bc700f838a</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6BA27669</paraID>
      <start>5</start>
      <end>6</end>
      <status>modified</status>
      <modifiedWord>—</modifiedWord>
      <trackRevisions>false</trackRevisions>
    </reviewItem>
    <reviewItem>
      <errorID>7d700b7d-e887-4c6b-94d3-160cada03959</errorID>
      <errorWord>种草</errorWord>
      <group>L1_Official</group>
      <groupName>公文问题</groupName>
      <ability>L2_Official</ability>
      <abilityName>公文问题</abilityName>
      <candidateList/>
      <explain>公文中禁止出现该词语</explain>
      <paraID>4C76F0B7</paraID>
      <start>176</start>
      <end>178</end>
      <status>unmodified</status>
      <modifiedWord/>
      <trackRevisions>false</trackRevisions>
    </reviewItem>
    <reviewItem>
      <errorID>b03b6ace-d20c-40b1-8000-f7254a80cb6d</errorID>
      <errorWord>金</errorWord>
      <group>L1_Word</group>
      <groupName>字词问题</groupName>
      <ability>L2_Typo</ability>
      <abilityName>字词错误</abilityName>
      <candidateList>
        <item>金融</item>
      </candidateList>
      <explain/>
      <paraID>6C278849</paraID>
      <start>286</start>
      <end>287</end>
      <status>unmodified</status>
      <modifiedWord/>
      <trackRevisions>false</trackRevisions>
    </reviewItem>
    <reviewItem>
      <errorID>b2897048-9775-41ea-8c83-c161db03d3d4</errorID>
      <errorWord>州委州政府</errorWord>
      <group>L1_Political</group>
      <groupName>政治性问题</groupName>
      <ability>L2_Unpolitical</ability>
      <abilityName>政治敏感错误</abilityName>
      <candidateList>
        <item>州委、州政府</item>
      </candidateList>
      <explain/>
      <paraID>11BEB09C</paraID>
      <start>24</start>
      <end>30</end>
      <status>modified</status>
      <modifiedWord>州委、州政府</modifiedWord>
      <trackRevisions>false</trackRevisions>
    </reviewItem>
    <reviewItem>
      <errorID>57154ded-34d3-4066-bdba-3375e00aeb45</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1202843A</paraID>
      <start>0</start>
      <end>5</end>
      <status>unmodified</status>
      <modifiedWord/>
      <trackRevisions>false</trackRevisions>
    </reviewItem>
    <reviewItem>
      <errorID>c114dbe6-639e-4a1e-aa24-dc61d4bf0bb2</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1202843A</paraID>
      <start>28</start>
      <end>34</end>
      <status>modified</status>
      <modifiedWord>县委、县政府</modifiedWord>
      <trackRevisions>false</trackRevisions>
    </reviewItem>
    <reviewItem>
      <errorID>fa2113e3-0cba-4592-b42b-127c8977342b</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1202843A</paraID>
      <start>136</start>
      <end>142</end>
      <status>modified</status>
      <modifiedWord>县委、县政府</modifiedWord>
      <trackRevisions>false</trackRevisions>
    </reviewItem>
    <reviewItem>
      <errorID>a6213499-71a5-45b7-9841-53b58a3559b1</errorID>
      <errorWord>颜倒</errorWord>
      <group>L1_Word</group>
      <groupName>字词问题</groupName>
      <ability>L2_Typo</ability>
      <abilityName>字词错误</abilityName>
      <candidateList>
        <item>倾倒</item>
      </candidateList>
      <explain/>
      <paraID>50E2F1BB</paraID>
      <start>6</start>
      <end>8</end>
      <status>modified</status>
      <modifiedWord>倾倒</modifiedWord>
      <trackRevisions>false</trackRevisions>
    </reviewItem>
    <reviewItem>
      <errorID>c481ebf1-dcae-4bd0-846d-899cc3246039</errorID>
      <errorWord>终端用能天然气化</errorWord>
      <group>L1_Political</group>
      <groupName>政治性问题</groupName>
      <ability>L2_Keyword</ability>
      <abilityName>固定表述</abilityName>
      <candidateList>
        <item>终端用能电气化</item>
      </candidateList>
      <explain>词汇“终端用能电气化”在特定场景下为固定表述形式，请确认此处的“终端用能天然气化”是否存在不当。</explain>
      <paraID>460BD4F0</paraID>
      <start>230</start>
      <end>238</end>
      <status>ignored</status>
      <modifiedWord/>
      <trackRevisions>false</trackRevisions>
    </reviewItem>
    <reviewItem>
      <errorID>8b3adb69-412b-41a5-99ca-3a0c37a2039e</errorID>
      <errorWord>森林四库</errorWord>
      <group>L1_Political</group>
      <groupName>政治性问题</groupName>
      <ability>L2_Keyword</ability>
      <abilityName>固定表述</abilityName>
      <candidateList>
        <item>森林‘四库’</item>
      </candidateList>
      <explain>注意检查当前固定表述标点是否使用规范。</explain>
      <paraID>45E81506</paraID>
      <start>16</start>
      <end>20</end>
      <status>ignored</status>
      <modifiedWord/>
      <trackRevisions>false</trackRevisions>
    </reviewItem>
    <reviewItem>
      <errorID>d1721eda-9870-4b69-9952-7bc5e53cf03e</errorID>
      <errorWord>种草</errorWord>
      <group>L1_Official</group>
      <groupName>公文问题</groupName>
      <ability>L2_Official</ability>
      <abilityName>公文问题</abilityName>
      <candidateList/>
      <explain>公文中禁止出现该词语</explain>
      <paraID>45E81506</paraID>
      <start>185</start>
      <end>187</end>
      <status>ignored</status>
      <modifiedWord/>
      <trackRevisions>false</trackRevisions>
    </reviewItem>
    <reviewItem>
      <errorID>a23e9fda-9fff-4dcc-8263-d99b3588c0be</errorID>
      <errorWord>种草</errorWord>
      <group>L1_Official</group>
      <groupName>公文问题</groupName>
      <ability>L2_Official</ability>
      <abilityName>公文问题</abilityName>
      <candidateList/>
      <explain>公文中禁止出现该词语</explain>
      <paraID>696BA5C3</paraID>
      <start>130</start>
      <end>132</end>
      <status>ignored</status>
      <modifiedWord/>
      <trackRevisions>false</trackRevisions>
    </reviewItem>
    <reviewItem>
      <errorID>3b135577-5382-41b7-8038-ace81fce7301</errorID>
      <errorWord>重点野生动植物</errorWord>
      <group>L1_Word</group>
      <groupName>字词问题</groupName>
      <ability>L2_Typo</ability>
      <abilityName>字词错误</abilityName>
      <candidateList>
        <item>重点保护野生动植物</item>
      </candidateList>
      <explain/>
      <paraID>32F0AD67</paraID>
      <start>366</start>
      <end>373</end>
      <status>unmodified</status>
      <modifiedWord/>
      <trackRevisions>false</trackRevisions>
    </reviewItem>
    <reviewItem>
      <errorID>22c98fcd-f7b1-45c9-87ec-1b911727ccd1</errorID>
      <errorWord>生物多样性保护工程</errorWord>
      <group>L1_Political</group>
      <groupName>政治性问题</groupName>
      <ability>L2_Keyword</ability>
      <abilityName>固定表述</abilityName>
      <candidateList>
        <item>生物多样性保护重大工程</item>
      </candidateList>
      <explain>词汇“生物多样性保护重大工程”在特定场景下为固定表述形式，请确认此处的“生物多样性保护工程”是否存在不当。</explain>
      <paraID>2BC7CCAC</paraID>
      <start>3</start>
      <end>12</end>
      <status>unmodified</status>
      <modifiedWord/>
      <trackRevisions>false</trackRevisions>
    </reviewItem>
    <reviewItem>
      <errorID>bc386eaa-1f9b-4e7f-8a52-ce3caede36e6</errorID>
      <errorWord>，，</errorWord>
      <group>L1_Punc</group>
      <groupName>标点问题</groupName>
      <ability>L2_Punc_CN</ability>
      <abilityName/>
      <candidateList>
        <item>，</item>
      </candidateList>
      <explain/>
      <paraID>7B9B2DD6</paraID>
      <start>20</start>
      <end>21</end>
      <status>modified</status>
      <modifiedWord>，</modifiedWord>
      <trackRevisions>false</trackRevisions>
    </reviewItem>
    <reviewItem>
      <errorID>0a4377df-3aa0-4600-9ace-b43fe4075a38</errorID>
      <errorWord>，</errorWord>
      <group>L1_Word</group>
      <groupName>字词问题</groupName>
      <ability>L2_Typo</ability>
      <abilityName>字词错误</abilityName>
      <candidateList>
        <item>，对</item>
      </candidateList>
      <explain/>
      <paraID>4B684A4B</paraID>
      <start>33</start>
      <end>35</end>
      <status>modified</status>
      <modifiedWord>，对</modifiedWord>
      <trackRevisions>false</trackRevisions>
    </reviewItem>
    <reviewItem>
      <errorID>42e495b7-72b8-4f6f-92e6-982ac361feb8</errorID>
      <errorWord>8千</errorWord>
      <group>L1_Knowledge</group>
      <groupName>知识性问题</groupName>
      <ability>L2_Knowledge</ability>
      <abilityName>其他知识</abilityName>
      <candidateList>
        <item>8000</item>
      </candidateList>
      <explain>根据GB/T 15835-2011规定，只有“万”、“亿可以与阿拉伯数字混用，例如：“4万”、“4亿”、“4万亿”等。其他情况应统一使用阿拉伯数字。</explain>
      <paraID>184A477D</paraID>
      <start>28</start>
      <end>32</end>
      <status>modified</status>
      <modifiedWord>8000</modifiedWord>
      <trackRevisions>false</trackRevisions>
    </reviewItem>
    <reviewItem>
      <errorID>d79940a3-4bb4-40d0-9dcb-b4c73608a93b</errorID>
      <errorWord>污水厂</errorWord>
      <group>L1_Word</group>
      <groupName>字词问题</groupName>
      <ability>L2_Typo</ability>
      <abilityName>字词错误</abilityName>
      <candidateList>
        <item>污水处理厂</item>
      </candidateList>
      <explain/>
      <paraID> 1D21F3A</paraID>
      <start>15</start>
      <end>20</end>
      <status>modified</status>
      <modifiedWord>污水处理厂</modifiedWord>
      <trackRevisions>false</trackRevisions>
    </reviewItem>
    <reviewItem>
      <errorID>ee3cde6b-ce54-44c5-a220-92b3a18b8f0f</errorID>
      <errorWord>，形</errorWord>
      <group>L1_Word</group>
      <groupName>字词问题</groupName>
      <ability>L2_Typo</ability>
      <abilityName>字词错误</abilityName>
      <candidateList>
        <item>，</item>
      </candidateList>
      <explain/>
      <paraID>443774CA</paraID>
      <start>107</start>
      <end>108</end>
      <status>modified</status>
      <modifiedWord>，</modifiedWord>
      <trackRevisions>false</trackRevisions>
    </reviewItem>
    <reviewItem>
      <errorID>ecb7c3f3-eb62-4503-8724-958c8f46a4b8</errorID>
      <errorWord>、.</errorWord>
      <group>L1_Punc</group>
      <groupName>标点问题</groupName>
      <ability>L2_Punc_CN</ability>
      <abilityName/>
      <candidateList>
        <item>、</item>
      </candidateList>
      <explain/>
      <paraID>3B2A2BB5</paraID>
      <start>115</start>
      <end>116</end>
      <status>modified</status>
      <modifiedWord>、</modifiedWord>
      <trackRevisions>false</trackRevisions>
    </reviewItem>
    <reviewItem>
      <errorID>0c0f0995-7358-4884-bbdd-17473ad82732</errorID>
      <errorWord>治</errorWord>
      <group>L1_Word</group>
      <groupName>字词问题</groupName>
      <ability>L2_Typo</ability>
      <abilityName>字词错误</abilityName>
      <candidateList>
        <item>治理</item>
      </candidateList>
      <explain/>
      <paraID>3B2A2BB5</paraID>
      <start>130</start>
      <end>132</end>
      <status>modified</status>
      <modifiedWord>治理</modifiedWord>
      <trackRevisions>false</trackRevisions>
    </reviewItem>
    <reviewItem>
      <errorID>902c0997-e025-4b52-a35c-db2594e1c949</errorID>
      <errorWord>,</errorWord>
      <group>L1_Format</group>
      <groupName>格式问题</groupName>
      <ability>L2_HalfPunc_CN</ability>
      <abilityName/>
      <candidateList>
        <item>，</item>
      </candidateList>
      <explain>文本全半角错误。</explain>
      <paraID>378BA92D</paraID>
      <start>151</start>
      <end>152</end>
      <status>modified</status>
      <modifiedWord>，</modifiedWord>
      <trackRevisions>false</trackRevisions>
    </reviewItem>
    <reviewItem>
      <errorID>1a1a57ef-f49a-41b3-86ab-d0a8260f1921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5BB670A8</paraID>
      <start>0</start>
      <end>2</end>
      <status>modified</status>
      <modifiedWord>1.</modifiedWord>
      <trackRevisions>false</trackRevisions>
    </reviewItem>
    <reviewItem>
      <errorID>66fb02f7-e08b-47b2-b2d4-a91a15d94ed2</errorID>
      <errorWord>家</errorWord>
      <group>L1_Word</group>
      <groupName>字词问题</groupName>
      <ability>L2_Typo</ability>
      <abilityName>字词错误</abilityName>
      <candidateList>
        <item>家电</item>
      </candidateList>
      <explain/>
      <paraID>5422AAAE</paraID>
      <start>93</start>
      <end>95</end>
      <status>modified</status>
      <modifiedWord>家电</modifiedWord>
      <trackRevisions>false</trackRevisions>
    </reviewItem>
    <reviewItem>
      <errorID>35008efe-1674-4d83-9b20-58f5c3527a7c</errorID>
      <errorWord>物品电</errorWord>
      <group>L1_Word</group>
      <groupName>字词问题</groupName>
      <ability>L2_Typo</ability>
      <abilityName>字词错误</abilityName>
      <candidateList>
        <item>物品</item>
      </candidateList>
      <explain/>
      <paraID>5422AAAE</paraID>
      <start>98</start>
      <end>100</end>
      <status>modified</status>
      <modifiedWord>物品</modifiedWord>
      <trackRevisions>false</trackRevisions>
    </reviewItem>
    <reviewItem>
      <errorID>8888992a-c7c0-4655-b9f7-f5171c6af84a</errorID>
      <errorWord>种草</errorWord>
      <group>L1_Official</group>
      <groupName>公文问题</groupName>
      <ability>L2_Official</ability>
      <abilityName>公文问题</abilityName>
      <candidateList/>
      <explain>公文中禁止出现该词语</explain>
      <paraID>28742BD6</paraID>
      <start>2</start>
      <end>4</end>
      <status>ignored</status>
      <modifiedWord/>
      <trackRevisions>false</trackRevisions>
    </reviewItem>
  </reviewItems>
  <config/>
</contractReview>
</file>

<file path=customXml/itemProps1.xml><?xml version="1.0" encoding="utf-8"?>
<ds:datastoreItem xmlns:ds="http://schemas.openxmlformats.org/officeDocument/2006/customXml" ds:itemID="{F03B303C-C891-49DC-B432-1C86FCFBB1FA}">
  <ds:schemaRefs/>
</ds:datastoreItem>
</file>

<file path=customXml/itemProps2.xml><?xml version="1.0" encoding="utf-8"?>
<ds:datastoreItem xmlns:ds="http://schemas.openxmlformats.org/officeDocument/2006/customXml" ds:itemID="{CA323B5A-013A-420E-9491-2D8B69C4894D}">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46</Pages>
  <Words>3434</Words>
  <Characters>3627</Characters>
  <Lines>845</Lines>
  <Paragraphs>536</Paragraphs>
  <TotalTime>0</TotalTime>
  <ScaleCrop>false</ScaleCrop>
  <LinksUpToDate>false</LinksUpToDate>
  <CharactersWithSpaces>3690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2024-11-01T02:30:00Z</dcterms:created>
  <dc:creator>张豇浜</dc:creator>
  <cp:lastModifiedBy>潘哲</cp:lastModifiedBy>
  <dcterms:modified xsi:type="dcterms:W3CDTF">2026-09-24T03:06:25Z</dcterms:modified>
  <cp:revision>210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DC1DE53DD48346D69E1343E845516AA9_13</vt:lpwstr>
  </property>
  <property fmtid="{D5CDD505-2E9C-101B-9397-08002B2CF9AE}" pid="4" name="KSOTemplateDocerSaveRecord">
    <vt:lpwstr>eyJoZGlkIjoiZDgyMDAzMDc4Y2E2MGE3YWU3OTVkNmQ5N2YwYjcyMzAiLCJ1c2VySWQiOiIxOTEwMjgzOTE0In0=</vt:lpwstr>
  </property>
</Properties>
</file>