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bCs w:val="0"/>
          <w:sz w:val="30"/>
        </w:rPr>
      </w:pPr>
      <w:bookmarkStart w:id="1" w:name="_GoBack"/>
      <w:bookmarkStart w:id="0" w:name="_Toc24724724"/>
      <w:r>
        <w:rPr>
          <w:rFonts w:hint="eastAsia" w:ascii="方正小标宋_GBK" w:eastAsia="方正小标宋_GBK"/>
          <w:b w:val="0"/>
          <w:bCs w:val="0"/>
          <w:sz w:val="30"/>
        </w:rPr>
        <w:t>卫生健康领域基层政务公开标准目录</w:t>
      </w:r>
      <w:bookmarkEnd w:id="0"/>
    </w:p>
    <w:bookmarkEnd w:id="1"/>
    <w:tbl>
      <w:tblPr>
        <w:tblStyle w:val="3"/>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序号</w:t>
            </w:r>
          </w:p>
        </w:tc>
        <w:tc>
          <w:tcPr>
            <w:tcW w:w="1908"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公开事项</w:t>
            </w:r>
          </w:p>
        </w:tc>
        <w:tc>
          <w:tcPr>
            <w:tcW w:w="414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公开内容（要素）</w:t>
            </w:r>
          </w:p>
        </w:tc>
        <w:tc>
          <w:tcPr>
            <w:tcW w:w="180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公开依据</w:t>
            </w:r>
          </w:p>
        </w:tc>
        <w:tc>
          <w:tcPr>
            <w:tcW w:w="144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公开时限</w:t>
            </w:r>
          </w:p>
        </w:tc>
        <w:tc>
          <w:tcPr>
            <w:tcW w:w="72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公开主体</w:t>
            </w:r>
          </w:p>
        </w:tc>
        <w:tc>
          <w:tcPr>
            <w:tcW w:w="1080" w:type="dxa"/>
            <w:vMerge w:val="restart"/>
            <w:shd w:val="clear" w:color="auto" w:fill="auto"/>
            <w:noWrap w:val="0"/>
            <w:vAlign w:val="center"/>
          </w:tcPr>
          <w:p>
            <w:pPr>
              <w:widowControl/>
              <w:jc w:val="center"/>
              <w:rPr>
                <w:rFonts w:hint="eastAsia" w:ascii="黑体" w:eastAsia="黑体" w:cs="宋体"/>
                <w:kern w:val="0"/>
                <w:sz w:val="22"/>
                <w:lang w:bidi="ar-SA"/>
              </w:rPr>
            </w:pPr>
            <w:r>
              <w:rPr>
                <w:rFonts w:hint="eastAsia" w:ascii="黑体" w:eastAsia="黑体" w:cs="宋体"/>
                <w:kern w:val="0"/>
                <w:sz w:val="22"/>
                <w:lang w:bidi="ar-SA"/>
              </w:rPr>
              <w:t>公开渠道和载体</w:t>
            </w:r>
          </w:p>
        </w:tc>
        <w:tc>
          <w:tcPr>
            <w:tcW w:w="1440"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公开对象</w:t>
            </w:r>
          </w:p>
        </w:tc>
        <w:tc>
          <w:tcPr>
            <w:tcW w:w="1316"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公开方式</w:t>
            </w:r>
          </w:p>
        </w:tc>
        <w:tc>
          <w:tcPr>
            <w:tcW w:w="1204"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一级事项</w:t>
            </w:r>
          </w:p>
        </w:tc>
        <w:tc>
          <w:tcPr>
            <w:tcW w:w="1188"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二级事项</w:t>
            </w:r>
          </w:p>
        </w:tc>
        <w:tc>
          <w:tcPr>
            <w:tcW w:w="4140" w:type="dxa"/>
            <w:vMerge w:val="continue"/>
            <w:shd w:val="clear" w:color="auto" w:fill="auto"/>
            <w:noWrap w:val="0"/>
            <w:vAlign w:val="center"/>
          </w:tcPr>
          <w:p/>
        </w:tc>
        <w:tc>
          <w:tcPr>
            <w:tcW w:w="1800" w:type="dxa"/>
            <w:vMerge w:val="continue"/>
            <w:shd w:val="clear" w:color="auto" w:fill="auto"/>
            <w:noWrap w:val="0"/>
            <w:vAlign w:val="center"/>
          </w:tcPr>
          <w:p/>
        </w:tc>
        <w:tc>
          <w:tcPr>
            <w:tcW w:w="1440" w:type="dxa"/>
            <w:vMerge w:val="continue"/>
            <w:shd w:val="clear" w:color="auto" w:fill="auto"/>
            <w:noWrap w:val="0"/>
            <w:vAlign w:val="center"/>
          </w:tcPr>
          <w:p/>
        </w:tc>
        <w:tc>
          <w:tcPr>
            <w:tcW w:w="720" w:type="dxa"/>
            <w:vMerge w:val="continue"/>
            <w:shd w:val="clear" w:color="auto" w:fill="auto"/>
            <w:noWrap w:val="0"/>
            <w:vAlign w:val="center"/>
          </w:tcPr>
          <w:p/>
        </w:tc>
        <w:tc>
          <w:tcPr>
            <w:tcW w:w="1080" w:type="dxa"/>
            <w:vMerge w:val="continue"/>
            <w:shd w:val="clear" w:color="auto" w:fill="auto"/>
            <w:noWrap w:val="0"/>
            <w:vAlign w:val="center"/>
          </w:tcPr>
          <w:p/>
        </w:tc>
        <w:tc>
          <w:tcPr>
            <w:tcW w:w="72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全社会</w:t>
            </w:r>
          </w:p>
        </w:tc>
        <w:tc>
          <w:tcPr>
            <w:tcW w:w="72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特定群众</w:t>
            </w:r>
          </w:p>
        </w:tc>
        <w:tc>
          <w:tcPr>
            <w:tcW w:w="596"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主动</w:t>
            </w:r>
          </w:p>
        </w:tc>
        <w:tc>
          <w:tcPr>
            <w:tcW w:w="72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依申请公开</w:t>
            </w:r>
          </w:p>
        </w:tc>
        <w:tc>
          <w:tcPr>
            <w:tcW w:w="54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县级</w:t>
            </w:r>
          </w:p>
        </w:tc>
        <w:tc>
          <w:tcPr>
            <w:tcW w:w="664"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eastAsia="仿宋_GB2312" w:cs="宋体"/>
                <w:bCs/>
                <w:color w:val="000000"/>
                <w:sz w:val="18"/>
                <w:szCs w:val="18"/>
                <w:lang w:bidi="ar-SA"/>
              </w:rPr>
            </w:pPr>
            <w:r>
              <w:rPr>
                <w:rFonts w:hint="eastAsia" w:ascii="仿宋_GB2312" w:eastAsia="仿宋_GB2312"/>
                <w:bCs/>
                <w:color w:val="000000"/>
                <w:sz w:val="18"/>
                <w:szCs w:val="18"/>
              </w:rPr>
              <w:t>行政许可类事项</w:t>
            </w:r>
          </w:p>
        </w:tc>
        <w:tc>
          <w:tcPr>
            <w:tcW w:w="1188" w:type="dxa"/>
            <w:vMerge w:val="restart"/>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母婴保健技术服务机构执业许可（包括计划生育技术服务机构执业许可）（权限内）</w:t>
            </w:r>
          </w:p>
        </w:tc>
        <w:tc>
          <w:tcPr>
            <w:tcW w:w="4140" w:type="dxa"/>
            <w:shd w:val="clear" w:color="auto" w:fill="auto"/>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1.法律法规和政策文件</w:t>
            </w:r>
            <w:r>
              <w:rPr>
                <w:rFonts w:hint="eastAsia" w:ascii="仿宋_GB2312" w:eastAsia="仿宋_GB2312" w:cs="宋体"/>
                <w:color w:val="000000"/>
                <w:sz w:val="18"/>
                <w:szCs w:val="18"/>
                <w:lang w:bidi="ar-SA"/>
              </w:rPr>
              <w:t>；</w:t>
            </w:r>
          </w:p>
          <w:p>
            <w:pPr>
              <w:rPr>
                <w:rFonts w:hint="eastAsia" w:ascii="仿宋_GB2312" w:eastAsia="仿宋_GB2312" w:cs="宋体"/>
                <w:color w:val="000000"/>
                <w:sz w:val="18"/>
                <w:szCs w:val="18"/>
                <w:lang w:bidi="ar-SA"/>
              </w:rPr>
            </w:pPr>
            <w:r>
              <w:rPr>
                <w:rFonts w:hint="eastAsia" w:ascii="仿宋_GB2312" w:eastAsia="仿宋_GB2312" w:cs="宋体"/>
                <w:color w:val="000000"/>
                <w:sz w:val="18"/>
                <w:szCs w:val="18"/>
                <w:lang w:bidi="ar-SA"/>
              </w:rPr>
              <w:t>2.</w:t>
            </w:r>
            <w:r>
              <w:rPr>
                <w:rFonts w:hint="eastAsia" w:ascii="仿宋_GB2312"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s="宋体"/>
                <w:color w:val="000000"/>
                <w:sz w:val="18"/>
                <w:szCs w:val="18"/>
                <w:lang w:bidi="ar-SA"/>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shd w:val="clear" w:color="auto" w:fill="auto"/>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自信息形成或者变更之日起20个工作日内予以公开</w:t>
            </w:r>
          </w:p>
        </w:tc>
        <w:tc>
          <w:tcPr>
            <w:tcW w:w="720" w:type="dxa"/>
            <w:shd w:val="clear" w:color="auto" w:fill="auto"/>
            <w:noWrap w:val="0"/>
            <w:vAlign w:val="center"/>
          </w:tcPr>
          <w:p>
            <w:pPr>
              <w:jc w:val="center"/>
              <w:rPr>
                <w:rFonts w:hint="eastAsia" w:ascii="仿宋_GB2312" w:eastAsia="仿宋_GB2312" w:cs="宋体"/>
                <w:color w:val="000000"/>
                <w:sz w:val="18"/>
                <w:szCs w:val="18"/>
                <w:lang w:eastAsia="zh-CN" w:bidi="ar-SA"/>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结果信息——母婴保健技术服务执业许可证信息</w:t>
            </w:r>
          </w:p>
        </w:tc>
        <w:tc>
          <w:tcPr>
            <w:tcW w:w="1800" w:type="dxa"/>
            <w:vMerge w:val="continue"/>
            <w:shd w:val="clear" w:color="auto" w:fill="auto"/>
            <w:noWrap w:val="0"/>
            <w:vAlign w:val="center"/>
          </w:tcPr>
          <w:p/>
        </w:tc>
        <w:tc>
          <w:tcPr>
            <w:tcW w:w="1440" w:type="dxa"/>
            <w:shd w:val="clear" w:color="auto" w:fill="auto"/>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自信息形成或者变更之日起7个工作日内予以公开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s="宋体"/>
                <w:color w:val="000000"/>
                <w:sz w:val="18"/>
                <w:szCs w:val="18"/>
                <w:lang w:bidi="ar-SA"/>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s="宋体"/>
                <w:color w:val="000000"/>
                <w:sz w:val="18"/>
                <w:szCs w:val="18"/>
                <w:lang w:bidi="ar-SA"/>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w:t>
            </w:r>
          </w:p>
        </w:tc>
        <w:tc>
          <w:tcPr>
            <w:tcW w:w="72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母婴保健服务人员资格认定（包括计划生育技术服务人员合格证）（权限内）</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p>
            <w:pPr>
              <w:rPr>
                <w:rFonts w:hint="eastAsia" w:ascii="仿宋_GB2312" w:eastAsia="仿宋_GB2312"/>
                <w:color w:val="000000"/>
                <w:sz w:val="18"/>
                <w:szCs w:val="18"/>
              </w:rPr>
            </w:pPr>
          </w:p>
        </w:tc>
        <w:tc>
          <w:tcPr>
            <w:tcW w:w="1800" w:type="dxa"/>
            <w:vMerge w:val="restart"/>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结果信息，包括姓名、性别、类别、执业地点、证书编码、主要执业机构、发证（批准）机关等相关信息</w:t>
            </w:r>
          </w:p>
        </w:tc>
        <w:tc>
          <w:tcPr>
            <w:tcW w:w="1800" w:type="dxa"/>
            <w:vMerge w:val="continue"/>
            <w:shd w:val="clear" w:color="auto" w:fill="auto"/>
            <w:noWrap w:val="0"/>
            <w:vAlign w:val="center"/>
          </w:tcP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w:t>
            </w:r>
          </w:p>
        </w:tc>
        <w:tc>
          <w:tcPr>
            <w:tcW w:w="72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医疗机构设置审批（含港澳台，外商独资除外）（权限内）</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结果信息——设置审批结果信息</w:t>
            </w:r>
          </w:p>
        </w:tc>
        <w:tc>
          <w:tcPr>
            <w:tcW w:w="1800" w:type="dxa"/>
            <w:vMerge w:val="continue"/>
            <w:shd w:val="clear" w:color="auto" w:fill="auto"/>
            <w:noWrap w:val="0"/>
            <w:vAlign w:val="center"/>
          </w:tcP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w:t>
            </w:r>
          </w:p>
        </w:tc>
        <w:tc>
          <w:tcPr>
            <w:tcW w:w="72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医疗机构执业登记（人体器官移植除外）（权限内）</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《行政许可法》、《医疗机构管理条例》、《医疗机构管理条例实施细则》、《医疗美容服务管理办法》</w:t>
            </w: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结果信息——医疗机构名称、地址、诊疗科目、法定代表人、主要负责人、登记号、医疗机构执业许可证有效期限、审批机关</w:t>
            </w:r>
          </w:p>
        </w:tc>
        <w:tc>
          <w:tcPr>
            <w:tcW w:w="1800" w:type="dxa"/>
            <w:vMerge w:val="continue"/>
            <w:shd w:val="clear" w:color="auto" w:fill="auto"/>
            <w:noWrap w:val="0"/>
            <w:vAlign w:val="center"/>
          </w:tcP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5</w:t>
            </w:r>
          </w:p>
        </w:tc>
        <w:tc>
          <w:tcPr>
            <w:tcW w:w="720"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01 行政许可类事项</w:t>
            </w:r>
          </w:p>
        </w:tc>
        <w:tc>
          <w:tcPr>
            <w:tcW w:w="1188" w:type="dxa"/>
            <w:vMerge w:val="restart"/>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医师执业注册（权限内）</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《行政许可法》、《执业医师法》、《医师执业注册管理办法》</w:t>
            </w: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结果信息，包括姓名、性别、类别、执业地点、证书编码、主要执业机构、发证（批准）机关等相关信息</w:t>
            </w:r>
          </w:p>
        </w:tc>
        <w:tc>
          <w:tcPr>
            <w:tcW w:w="1800" w:type="dxa"/>
            <w:vMerge w:val="continue"/>
            <w:shd w:val="clear" w:color="auto" w:fill="auto"/>
            <w:noWrap w:val="0"/>
            <w:vAlign w:val="center"/>
          </w:tcP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6</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护士执业注册（权限内）</w:t>
            </w:r>
          </w:p>
        </w:tc>
        <w:tc>
          <w:tcPr>
            <w:tcW w:w="414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结果信息，包括姓名、性别、类别、执业地点、证书编码、主要执业机构、发证（批准）机关等相关信息</w:t>
            </w:r>
          </w:p>
        </w:tc>
        <w:tc>
          <w:tcPr>
            <w:tcW w:w="1800" w:type="dxa"/>
            <w:vMerge w:val="continue"/>
            <w:shd w:val="clear" w:color="auto" w:fill="auto"/>
            <w:noWrap w:val="0"/>
            <w:vAlign w:val="center"/>
          </w:tcP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7</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饮用水供水单位卫生许可（权限内）</w:t>
            </w:r>
          </w:p>
        </w:tc>
        <w:tc>
          <w:tcPr>
            <w:tcW w:w="414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结果信息——卫生许可证信息</w:t>
            </w:r>
          </w:p>
        </w:tc>
        <w:tc>
          <w:tcPr>
            <w:tcW w:w="1800" w:type="dxa"/>
            <w:vMerge w:val="continue"/>
            <w:shd w:val="clear" w:color="auto" w:fill="auto"/>
            <w:noWrap w:val="0"/>
            <w:vAlign w:val="center"/>
          </w:tcP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8</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公共场所卫生许可</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结果信息——卫生许可证信息</w:t>
            </w:r>
          </w:p>
        </w:tc>
        <w:tc>
          <w:tcPr>
            <w:tcW w:w="1800" w:type="dxa"/>
            <w:vMerge w:val="continue"/>
            <w:shd w:val="clear" w:color="auto" w:fill="auto"/>
            <w:noWrap w:val="0"/>
            <w:vAlign w:val="center"/>
          </w:tcP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vMerge w:val="continue"/>
            <w:shd w:val="clear" w:color="auto" w:fill="auto"/>
            <w:noWrap w:val="0"/>
            <w:vAlign w:val="center"/>
          </w:tcPr>
          <w:p/>
        </w:tc>
        <w:tc>
          <w:tcPr>
            <w:tcW w:w="1080" w:type="dxa"/>
            <w:vMerge w:val="continue"/>
            <w:shd w:val="clear" w:color="auto" w:fill="auto"/>
            <w:noWrap w:val="0"/>
            <w:vAlign w:val="center"/>
          </w:tcPr>
          <w:p/>
        </w:tc>
        <w:tc>
          <w:tcPr>
            <w:tcW w:w="720" w:type="dxa"/>
            <w:shd w:val="clear" w:color="auto" w:fill="auto"/>
            <w:noWrap w:val="0"/>
            <w:vAlign w:val="center"/>
          </w:tcPr>
          <w:p>
            <w:pPr>
              <w:widowControl/>
              <w:rPr>
                <w:rFonts w:hint="eastAsia" w:ascii="仿宋_GB2312" w:eastAsia="仿宋_GB2312"/>
                <w:color w:val="000000"/>
                <w:sz w:val="18"/>
                <w:szCs w:val="18"/>
              </w:rPr>
            </w:pPr>
          </w:p>
        </w:tc>
        <w:tc>
          <w:tcPr>
            <w:tcW w:w="720" w:type="dxa"/>
            <w:shd w:val="clear" w:color="auto" w:fill="auto"/>
            <w:noWrap w:val="0"/>
            <w:vAlign w:val="center"/>
          </w:tcPr>
          <w:p>
            <w:pPr>
              <w:widowControl/>
              <w:rPr>
                <w:rFonts w:hint="eastAsia" w:ascii="仿宋_GB2312" w:eastAsia="仿宋_GB2312"/>
                <w:color w:val="000000"/>
                <w:sz w:val="18"/>
                <w:szCs w:val="18"/>
              </w:rPr>
            </w:pPr>
          </w:p>
        </w:tc>
        <w:tc>
          <w:tcPr>
            <w:tcW w:w="596" w:type="dxa"/>
            <w:shd w:val="clear" w:color="auto" w:fill="auto"/>
            <w:noWrap w:val="0"/>
            <w:vAlign w:val="center"/>
          </w:tcPr>
          <w:p>
            <w:pPr>
              <w:widowControl/>
              <w:rPr>
                <w:rFonts w:hint="eastAsia" w:ascii="仿宋_GB2312" w:eastAsia="仿宋_GB2312"/>
                <w:color w:val="000000"/>
                <w:sz w:val="18"/>
                <w:szCs w:val="18"/>
              </w:rPr>
            </w:pPr>
          </w:p>
        </w:tc>
        <w:tc>
          <w:tcPr>
            <w:tcW w:w="720" w:type="dxa"/>
            <w:shd w:val="clear" w:color="auto" w:fill="auto"/>
            <w:noWrap w:val="0"/>
            <w:vAlign w:val="center"/>
          </w:tcPr>
          <w:p>
            <w:pPr>
              <w:widowControl/>
              <w:rPr>
                <w:rFonts w:hint="eastAsia" w:ascii="仿宋_GB2312" w:eastAsia="仿宋_GB2312"/>
                <w:color w:val="000000"/>
                <w:sz w:val="18"/>
                <w:szCs w:val="18"/>
              </w:rPr>
            </w:pPr>
          </w:p>
        </w:tc>
        <w:tc>
          <w:tcPr>
            <w:tcW w:w="540" w:type="dxa"/>
            <w:shd w:val="clear" w:color="auto" w:fill="auto"/>
            <w:noWrap w:val="0"/>
            <w:vAlign w:val="center"/>
          </w:tcPr>
          <w:p>
            <w:pPr>
              <w:widowControl/>
              <w:rPr>
                <w:rFonts w:hint="eastAsia" w:ascii="仿宋_GB2312" w:eastAsia="仿宋_GB2312"/>
                <w:color w:val="000000"/>
                <w:sz w:val="18"/>
                <w:szCs w:val="18"/>
              </w:rPr>
            </w:pPr>
          </w:p>
        </w:tc>
        <w:tc>
          <w:tcPr>
            <w:tcW w:w="664" w:type="dxa"/>
            <w:shd w:val="clear" w:color="auto" w:fill="auto"/>
            <w:noWrap w:val="0"/>
            <w:vAlign w:val="center"/>
          </w:tcPr>
          <w:p>
            <w:pPr>
              <w:widowControl/>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9</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公共场所卫生许可</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结果信息——放射诊疗许可证信息</w:t>
            </w:r>
          </w:p>
        </w:tc>
        <w:tc>
          <w:tcPr>
            <w:tcW w:w="1800" w:type="dxa"/>
            <w:vMerge w:val="continue"/>
            <w:shd w:val="clear" w:color="auto" w:fill="auto"/>
            <w:noWrap w:val="0"/>
            <w:vAlign w:val="center"/>
          </w:tcP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vMerge w:val="continue"/>
            <w:shd w:val="clear" w:color="auto" w:fill="auto"/>
            <w:noWrap w:val="0"/>
            <w:vAlign w:val="center"/>
          </w:tcPr>
          <w:p/>
        </w:tc>
        <w:tc>
          <w:tcPr>
            <w:tcW w:w="1080" w:type="dxa"/>
            <w:vMerge w:val="continue"/>
            <w:shd w:val="clear" w:color="auto" w:fill="auto"/>
            <w:noWrap w:val="0"/>
            <w:vAlign w:val="center"/>
          </w:tc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10</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行政许可类事项</w:t>
            </w:r>
          </w:p>
        </w:tc>
        <w:tc>
          <w:tcPr>
            <w:tcW w:w="1188"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乡村医生执业注册（包括乡村医生执业再注册）</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1.法律法规和政策文件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eastAsia="仿宋_GB2312"/>
                <w:color w:val="000000"/>
                <w:sz w:val="18"/>
                <w:szCs w:val="18"/>
              </w:rPr>
            </w:pPr>
            <w:r>
              <w:rPr>
                <w:rFonts w:hint="eastAsia" w:ascii="仿宋_GB2312" w:eastAsia="仿宋_GB2312"/>
                <w:color w:val="000000"/>
                <w:sz w:val="18"/>
                <w:szCs w:val="18"/>
              </w:rPr>
              <w:t>3.过程信息，各地可根据实际情况适当公开受理、审核、审批、送达等相关信息</w:t>
            </w:r>
          </w:p>
        </w:tc>
        <w:tc>
          <w:tcPr>
            <w:tcW w:w="180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结果信息，包括姓名、性别、类别、执业地点、证书编码、主要执业机构、发证（批准）机关等相关信息</w:t>
            </w:r>
          </w:p>
        </w:tc>
        <w:tc>
          <w:tcPr>
            <w:tcW w:w="1800" w:type="dxa"/>
            <w:vMerge w:val="continue"/>
            <w:shd w:val="clear" w:color="auto" w:fill="auto"/>
            <w:noWrap w:val="0"/>
            <w:vAlign w:val="center"/>
          </w:tcP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vMerge w:val="continue"/>
            <w:shd w:val="clear" w:color="auto" w:fill="auto"/>
            <w:noWrap w:val="0"/>
            <w:vAlign w:val="center"/>
          </w:tcPr>
          <w:p/>
        </w:tc>
        <w:tc>
          <w:tcPr>
            <w:tcW w:w="1080" w:type="dxa"/>
            <w:vMerge w:val="continue"/>
            <w:shd w:val="clear" w:color="auto" w:fill="auto"/>
            <w:noWrap w:val="0"/>
            <w:vAlign w:val="center"/>
          </w:tc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11</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行政处罚类事项</w:t>
            </w:r>
          </w:p>
        </w:tc>
        <w:tc>
          <w:tcPr>
            <w:tcW w:w="1188"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对不符合规定条件的医疗机构擅自从事精神障碍诊断、治疗的处罚</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投诉举报电话以及网上投诉渠道</w:t>
            </w:r>
          </w:p>
        </w:tc>
        <w:tc>
          <w:tcPr>
            <w:tcW w:w="180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《行政处罚法》、《精神卫生法》、《卫生行政处罚程序》</w:t>
            </w:r>
          </w:p>
        </w:tc>
        <w:tc>
          <w:tcPr>
            <w:tcW w:w="144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受理和立案信息，包括：案件受理记录、立案报告；</w:t>
            </w:r>
          </w:p>
          <w:p>
            <w:pPr>
              <w:widowControl/>
              <w:rPr>
                <w:rFonts w:hint="eastAsia" w:ascii="仿宋_GB2312" w:eastAsia="仿宋_GB2312"/>
                <w:color w:val="000000"/>
                <w:sz w:val="18"/>
                <w:szCs w:val="18"/>
              </w:rPr>
            </w:pPr>
            <w:r>
              <w:rPr>
                <w:rFonts w:hint="eastAsia" w:ascii="仿宋_GB2312" w:eastAsia="仿宋_GB2312"/>
                <w:color w:val="000000"/>
                <w:sz w:val="18"/>
                <w:szCs w:val="18"/>
              </w:rPr>
              <w:t>告知信息，包括：行政处罚事先告知书、听证告知书</w:t>
            </w:r>
          </w:p>
        </w:tc>
        <w:tc>
          <w:tcPr>
            <w:tcW w:w="1800" w:type="dxa"/>
            <w:vMerge w:val="continue"/>
            <w:shd w:val="clear" w:color="auto" w:fill="auto"/>
            <w:noWrap w:val="0"/>
            <w:vAlign w:val="center"/>
          </w:tcPr>
          <w:p/>
        </w:tc>
        <w:tc>
          <w:tcPr>
            <w:tcW w:w="1440" w:type="dxa"/>
            <w:vMerge w:val="continue"/>
            <w:shd w:val="clear" w:color="auto" w:fill="auto"/>
            <w:noWrap w:val="0"/>
            <w:vAlign w:val="center"/>
          </w:tcPr>
          <w:p/>
        </w:tc>
        <w:tc>
          <w:tcPr>
            <w:tcW w:w="720" w:type="dxa"/>
            <w:vMerge w:val="continue"/>
            <w:shd w:val="clear" w:color="auto" w:fill="auto"/>
            <w:noWrap w:val="0"/>
            <w:vAlign w:val="center"/>
          </w:tcPr>
          <w:p/>
        </w:tc>
        <w:tc>
          <w:tcPr>
            <w:tcW w:w="108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■精准推送        </w:t>
            </w:r>
          </w:p>
        </w:tc>
        <w:tc>
          <w:tcPr>
            <w:tcW w:w="720" w:type="dxa"/>
            <w:shd w:val="clear" w:color="auto" w:fill="auto"/>
            <w:noWrap w:val="0"/>
            <w:vAlign w:val="center"/>
          </w:tcPr>
          <w:p>
            <w:pPr>
              <w:widowControl/>
              <w:jc w:val="center"/>
              <w:rPr>
                <w:rFonts w:hint="eastAsia"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行政相对人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shd w:val="clear" w:color="auto" w:fill="auto"/>
            <w:noWrap w:val="0"/>
            <w:vAlign w:val="center"/>
          </w:tcP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vMerge w:val="continue"/>
            <w:shd w:val="clear" w:color="auto" w:fill="auto"/>
            <w:noWrap w:val="0"/>
            <w:vAlign w:val="center"/>
          </w:tcPr>
          <w:p/>
        </w:tc>
        <w:tc>
          <w:tcPr>
            <w:tcW w:w="108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12</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行政处罚类事项</w:t>
            </w:r>
          </w:p>
        </w:tc>
        <w:tc>
          <w:tcPr>
            <w:tcW w:w="1188"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法律法规和政策文件；</w:t>
            </w:r>
          </w:p>
          <w:p>
            <w:pPr>
              <w:rPr>
                <w:rFonts w:hint="eastAsia" w:ascii="仿宋_GB2312" w:eastAsia="仿宋_GB2312"/>
                <w:color w:val="000000"/>
                <w:sz w:val="18"/>
                <w:szCs w:val="18"/>
              </w:rPr>
            </w:pPr>
            <w:r>
              <w:rPr>
                <w:rFonts w:hint="eastAsia" w:ascii="仿宋_GB2312" w:eastAsia="仿宋_GB2312"/>
                <w:color w:val="000000"/>
                <w:sz w:val="18"/>
                <w:szCs w:val="18"/>
              </w:rPr>
              <w:t>投诉举报电话以及网上投诉渠道</w:t>
            </w:r>
          </w:p>
        </w:tc>
        <w:tc>
          <w:tcPr>
            <w:tcW w:w="180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《行政处罚法》、《精神卫生法》、《卫生行政处罚程序》</w:t>
            </w:r>
          </w:p>
        </w:tc>
        <w:tc>
          <w:tcPr>
            <w:tcW w:w="1440"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自信息形成或者变更之日起20个工作日内予以公开</w:t>
            </w:r>
          </w:p>
        </w:tc>
        <w:tc>
          <w:tcPr>
            <w:tcW w:w="720" w:type="dxa"/>
            <w:vMerge w:val="restart"/>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卫生健康</w:t>
            </w:r>
            <w:r>
              <w:rPr>
                <w:rFonts w:hint="eastAsia" w:ascii="仿宋_GB2312" w:eastAsia="仿宋_GB2312"/>
                <w:color w:val="000000"/>
                <w:sz w:val="18"/>
                <w:szCs w:val="18"/>
                <w:lang w:eastAsia="zh-CN"/>
              </w:rPr>
              <w:t>局</w:t>
            </w:r>
          </w:p>
        </w:tc>
        <w:tc>
          <w:tcPr>
            <w:tcW w:w="108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受理和立案信息，包括：案件受理记录、立案报告；</w:t>
            </w:r>
          </w:p>
          <w:p>
            <w:pPr>
              <w:widowControl/>
              <w:rPr>
                <w:rFonts w:hint="eastAsia" w:ascii="仿宋_GB2312" w:eastAsia="仿宋_GB2312"/>
                <w:color w:val="000000"/>
                <w:sz w:val="18"/>
                <w:szCs w:val="18"/>
              </w:rPr>
            </w:pPr>
            <w:r>
              <w:rPr>
                <w:rFonts w:hint="eastAsia" w:ascii="仿宋_GB2312" w:eastAsia="仿宋_GB2312"/>
                <w:color w:val="000000"/>
                <w:sz w:val="18"/>
                <w:szCs w:val="18"/>
              </w:rPr>
              <w:t>告知信息，包括：行政处罚事先告知书、听证告知书</w:t>
            </w:r>
          </w:p>
        </w:tc>
        <w:tc>
          <w:tcPr>
            <w:tcW w:w="1800" w:type="dxa"/>
            <w:vMerge w:val="continue"/>
            <w:shd w:val="clear" w:color="auto" w:fill="auto"/>
            <w:noWrap w:val="0"/>
            <w:vAlign w:val="center"/>
          </w:tcPr>
          <w:p/>
        </w:tc>
        <w:tc>
          <w:tcPr>
            <w:tcW w:w="1440" w:type="dxa"/>
            <w:vMerge w:val="continue"/>
            <w:shd w:val="clear" w:color="auto" w:fill="auto"/>
            <w:noWrap w:val="0"/>
            <w:vAlign w:val="center"/>
          </w:tcPr>
          <w:p/>
        </w:tc>
        <w:tc>
          <w:tcPr>
            <w:tcW w:w="720" w:type="dxa"/>
            <w:vMerge w:val="continue"/>
            <w:shd w:val="clear" w:color="auto" w:fill="auto"/>
            <w:noWrap w:val="0"/>
            <w:vAlign w:val="center"/>
          </w:tcPr>
          <w:p/>
        </w:tc>
        <w:tc>
          <w:tcPr>
            <w:tcW w:w="108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■精准推送        </w:t>
            </w:r>
          </w:p>
        </w:tc>
        <w:tc>
          <w:tcPr>
            <w:tcW w:w="720" w:type="dxa"/>
            <w:shd w:val="clear" w:color="auto" w:fill="auto"/>
            <w:noWrap w:val="0"/>
            <w:vAlign w:val="center"/>
          </w:tcPr>
          <w:p>
            <w:pPr>
              <w:widowControl/>
              <w:jc w:val="center"/>
              <w:rPr>
                <w:rFonts w:hint="eastAsia"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行政相对人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tc>
        <w:tc>
          <w:tcPr>
            <w:tcW w:w="720" w:type="dxa"/>
            <w:vMerge w:val="continue"/>
            <w:shd w:val="clear" w:color="auto" w:fill="auto"/>
            <w:noWrap w:val="0"/>
            <w:vAlign w:val="center"/>
          </w:tcPr>
          <w:p/>
        </w:tc>
        <w:tc>
          <w:tcPr>
            <w:tcW w:w="1188" w:type="dxa"/>
            <w:vMerge w:val="continue"/>
            <w:shd w:val="clear" w:color="auto" w:fill="auto"/>
            <w:noWrap w:val="0"/>
            <w:vAlign w:val="center"/>
          </w:tcPr>
          <w:p/>
        </w:tc>
        <w:tc>
          <w:tcPr>
            <w:tcW w:w="41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shd w:val="clear" w:color="auto" w:fill="auto"/>
            <w:noWrap w:val="0"/>
            <w:vAlign w:val="center"/>
          </w:tcPr>
          <w:p/>
        </w:tc>
        <w:tc>
          <w:tcPr>
            <w:tcW w:w="144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自信息形成或者变更之日起7个工作日内予以公开</w:t>
            </w:r>
          </w:p>
        </w:tc>
        <w:tc>
          <w:tcPr>
            <w:tcW w:w="720" w:type="dxa"/>
            <w:vMerge w:val="continue"/>
            <w:shd w:val="clear" w:color="auto" w:fill="auto"/>
            <w:noWrap w:val="0"/>
            <w:vAlign w:val="center"/>
          </w:tcPr>
          <w:p/>
        </w:tc>
        <w:tc>
          <w:tcPr>
            <w:tcW w:w="1080"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96"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54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66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13634"/>
    <w:rsid w:val="1D41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2020-09-03T09:20:00Z</dcterms:created>
  <dc:creator>娟娟</dc:creator>
  <cp:lastModifiedBy>娟娟</cp:lastModifiedBy>
  <dcterms:modified xsi:type="dcterms:W3CDTF">2020-09-04T02:32:22Z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