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bCs w:val="0"/>
          <w:sz w:val="30"/>
          <w:szCs w:val="18"/>
        </w:rPr>
      </w:pPr>
      <w:bookmarkStart w:id="1" w:name="_GoBack"/>
      <w:bookmarkEnd w:id="1"/>
      <w:bookmarkStart w:id="0" w:name="_Toc24724721"/>
      <w:r>
        <w:rPr>
          <w:rFonts w:hint="eastAsia" w:ascii="方正小标宋_GBK" w:eastAsia="方正小标宋_GBK"/>
          <w:b w:val="0"/>
          <w:bCs w:val="0"/>
          <w:sz w:val="30"/>
        </w:rPr>
        <w:t>城市综合执法领域基层政务公开标准目录</w:t>
      </w:r>
      <w:bookmarkEnd w:id="0"/>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440"/>
        <w:gridCol w:w="540"/>
        <w:gridCol w:w="720"/>
        <w:gridCol w:w="596"/>
        <w:gridCol w:w="664"/>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Times New Roman"/>
                <w:color w:val="000000"/>
                <w:kern w:val="0"/>
                <w:sz w:val="22"/>
              </w:rPr>
              <w:t>序号</w:t>
            </w:r>
          </w:p>
        </w:tc>
        <w:tc>
          <w:tcPr>
            <w:tcW w:w="2520" w:type="dxa"/>
            <w:gridSpan w:val="2"/>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公开事项</w:t>
            </w:r>
          </w:p>
        </w:tc>
        <w:tc>
          <w:tcPr>
            <w:tcW w:w="1980" w:type="dxa"/>
            <w:vMerge w:val="restart"/>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公开内容（要素）</w:t>
            </w:r>
          </w:p>
        </w:tc>
        <w:tc>
          <w:tcPr>
            <w:tcW w:w="1620" w:type="dxa"/>
            <w:vMerge w:val="restart"/>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公开依据</w:t>
            </w:r>
          </w:p>
        </w:tc>
        <w:tc>
          <w:tcPr>
            <w:tcW w:w="2160" w:type="dxa"/>
            <w:vMerge w:val="restart"/>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公开时限</w:t>
            </w:r>
          </w:p>
        </w:tc>
        <w:tc>
          <w:tcPr>
            <w:tcW w:w="1440" w:type="dxa"/>
            <w:vMerge w:val="restart"/>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公开主体</w:t>
            </w:r>
          </w:p>
        </w:tc>
        <w:tc>
          <w:tcPr>
            <w:tcW w:w="1440" w:type="dxa"/>
            <w:vMerge w:val="restart"/>
            <w:shd w:val="clear" w:color="auto" w:fill="auto"/>
            <w:noWrap w:val="0"/>
            <w:vAlign w:val="center"/>
          </w:tcPr>
          <w:p>
            <w:pPr>
              <w:widowControl/>
              <w:jc w:val="center"/>
              <w:rPr>
                <w:rFonts w:hint="eastAsia" w:ascii="黑体" w:eastAsia="黑体" w:cs="宋体"/>
                <w:kern w:val="0"/>
                <w:sz w:val="22"/>
                <w:lang w:bidi="ar-SA"/>
              </w:rPr>
            </w:pPr>
            <w:r>
              <w:rPr>
                <w:rFonts w:hint="eastAsia" w:ascii="黑体" w:eastAsia="黑体" w:cs="宋体"/>
                <w:kern w:val="0"/>
                <w:sz w:val="22"/>
                <w:lang w:bidi="ar-SA"/>
              </w:rPr>
              <w:t>公开渠道和载体</w:t>
            </w:r>
          </w:p>
        </w:tc>
        <w:tc>
          <w:tcPr>
            <w:tcW w:w="1260" w:type="dxa"/>
            <w:gridSpan w:val="2"/>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公开对象</w:t>
            </w:r>
          </w:p>
        </w:tc>
        <w:tc>
          <w:tcPr>
            <w:tcW w:w="1260" w:type="dxa"/>
            <w:gridSpan w:val="2"/>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公开方式</w:t>
            </w:r>
          </w:p>
        </w:tc>
        <w:tc>
          <w:tcPr>
            <w:tcW w:w="1260" w:type="dxa"/>
            <w:gridSpan w:val="2"/>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shd w:val="clear" w:color="auto" w:fill="auto"/>
            <w:noWrap w:val="0"/>
            <w:vAlign w:val="center"/>
          </w:tcPr>
          <w:p/>
        </w:tc>
        <w:tc>
          <w:tcPr>
            <w:tcW w:w="720" w:type="dxa"/>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一级事项</w:t>
            </w:r>
          </w:p>
        </w:tc>
        <w:tc>
          <w:tcPr>
            <w:tcW w:w="1800" w:type="dxa"/>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二级事项</w:t>
            </w:r>
          </w:p>
        </w:tc>
        <w:tc>
          <w:tcPr>
            <w:tcW w:w="1980" w:type="dxa"/>
            <w:vMerge w:val="continue"/>
            <w:shd w:val="clear" w:color="auto" w:fill="auto"/>
            <w:noWrap w:val="0"/>
            <w:vAlign w:val="center"/>
          </w:tcPr>
          <w:p/>
        </w:tc>
        <w:tc>
          <w:tcPr>
            <w:tcW w:w="1620" w:type="dxa"/>
            <w:vMerge w:val="continue"/>
            <w:shd w:val="clear" w:color="auto" w:fill="auto"/>
            <w:noWrap w:val="0"/>
            <w:vAlign w:val="center"/>
          </w:tcPr>
          <w:p/>
        </w:tc>
        <w:tc>
          <w:tcPr>
            <w:tcW w:w="2160" w:type="dxa"/>
            <w:vMerge w:val="continue"/>
            <w:shd w:val="clear" w:color="auto" w:fill="auto"/>
            <w:noWrap w:val="0"/>
            <w:vAlign w:val="center"/>
          </w:tcPr>
          <w:p/>
        </w:tc>
        <w:tc>
          <w:tcPr>
            <w:tcW w:w="1440" w:type="dxa"/>
            <w:vMerge w:val="continue"/>
            <w:shd w:val="clear" w:color="auto" w:fill="auto"/>
            <w:noWrap w:val="0"/>
            <w:vAlign w:val="center"/>
          </w:tcPr>
          <w:p/>
        </w:tc>
        <w:tc>
          <w:tcPr>
            <w:tcW w:w="1440" w:type="dxa"/>
            <w:vMerge w:val="continue"/>
            <w:shd w:val="clear" w:color="auto" w:fill="auto"/>
            <w:noWrap w:val="0"/>
            <w:vAlign w:val="center"/>
          </w:tcPr>
          <w:p/>
        </w:tc>
        <w:tc>
          <w:tcPr>
            <w:tcW w:w="540" w:type="dxa"/>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全社会</w:t>
            </w:r>
          </w:p>
        </w:tc>
        <w:tc>
          <w:tcPr>
            <w:tcW w:w="720" w:type="dxa"/>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特定群众</w:t>
            </w:r>
          </w:p>
        </w:tc>
        <w:tc>
          <w:tcPr>
            <w:tcW w:w="596" w:type="dxa"/>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主动</w:t>
            </w:r>
          </w:p>
        </w:tc>
        <w:tc>
          <w:tcPr>
            <w:tcW w:w="664" w:type="dxa"/>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依申请公开</w:t>
            </w:r>
          </w:p>
        </w:tc>
        <w:tc>
          <w:tcPr>
            <w:tcW w:w="540" w:type="dxa"/>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县级</w:t>
            </w:r>
          </w:p>
        </w:tc>
        <w:tc>
          <w:tcPr>
            <w:tcW w:w="720" w:type="dxa"/>
            <w:shd w:val="clear" w:color="auto" w:fill="auto"/>
            <w:noWrap w:val="0"/>
            <w:vAlign w:val="center"/>
          </w:tcPr>
          <w:p>
            <w:pPr>
              <w:widowControl/>
              <w:jc w:val="center"/>
              <w:rPr>
                <w:rFonts w:hint="eastAsia" w:ascii="黑体" w:eastAsia="黑体" w:cs="宋体"/>
                <w:color w:val="000000"/>
                <w:kern w:val="0"/>
                <w:sz w:val="22"/>
                <w:lang w:bidi="ar-SA"/>
              </w:rPr>
            </w:pPr>
            <w:r>
              <w:rPr>
                <w:rFonts w:hint="eastAsia" w:ascii="黑体" w:eastAsia="黑体" w:cs="宋体"/>
                <w:color w:val="000000"/>
                <w:kern w:val="0"/>
                <w:sz w:val="22"/>
                <w:lang w:bidi="ar-SA"/>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1</w:t>
            </w:r>
          </w:p>
        </w:tc>
        <w:tc>
          <w:tcPr>
            <w:tcW w:w="720" w:type="dxa"/>
            <w:vMerge w:val="restart"/>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不符合预售条件预售商品房</w:t>
            </w:r>
          </w:p>
        </w:tc>
        <w:tc>
          <w:tcPr>
            <w:tcW w:w="1980" w:type="dxa"/>
            <w:vMerge w:val="restart"/>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 xml:space="preserve">《城市房地产管理法》  </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vMerge w:val="restart"/>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eastAsia="仿宋_GB2312" w:cs="宋体"/>
                <w:sz w:val="18"/>
                <w:szCs w:val="18"/>
                <w:lang w:bidi="ar-SA"/>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2</w:t>
            </w:r>
          </w:p>
        </w:tc>
        <w:tc>
          <w:tcPr>
            <w:tcW w:w="720" w:type="dxa"/>
            <w:vMerge w:val="continue"/>
            <w:shd w:val="clear" w:color="auto" w:fill="auto"/>
            <w:noWrap w:val="0"/>
            <w:vAlign w:val="center"/>
          </w:tcP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未取得资质等级证书或者超越资质等级从事房地产开发经营</w:t>
            </w:r>
          </w:p>
        </w:tc>
        <w:tc>
          <w:tcPr>
            <w:tcW w:w="1980" w:type="dxa"/>
            <w:vMerge w:val="continue"/>
            <w:shd w:val="clear" w:color="auto" w:fill="auto"/>
            <w:noWrap w:val="0"/>
            <w:vAlign w:val="center"/>
          </w:tcPr>
          <w:p/>
        </w:tc>
        <w:tc>
          <w:tcPr>
            <w:tcW w:w="162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《城市房地产开发经营管理条例》</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vMerge w:val="continue"/>
            <w:shd w:val="clear" w:color="auto" w:fill="auto"/>
            <w:noWrap w:val="0"/>
            <w:vAlign w:val="center"/>
          </w:tcP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3</w:t>
            </w:r>
          </w:p>
        </w:tc>
        <w:tc>
          <w:tcPr>
            <w:tcW w:w="720" w:type="dxa"/>
            <w:vMerge w:val="continue"/>
            <w:shd w:val="clear" w:color="auto" w:fill="auto"/>
            <w:noWrap w:val="0"/>
            <w:vAlign w:val="center"/>
          </w:tcP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擅自预售商品房</w:t>
            </w:r>
          </w:p>
        </w:tc>
        <w:tc>
          <w:tcPr>
            <w:tcW w:w="1980" w:type="dxa"/>
            <w:vMerge w:val="continue"/>
            <w:shd w:val="clear" w:color="auto" w:fill="auto"/>
            <w:noWrap w:val="0"/>
            <w:vAlign w:val="center"/>
          </w:tcPr>
          <w:p/>
        </w:tc>
        <w:tc>
          <w:tcPr>
            <w:tcW w:w="162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《城市房地产开发经营管理条例》、《商品房销售管理办法》</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vMerge w:val="continue"/>
            <w:shd w:val="clear" w:color="auto" w:fill="auto"/>
            <w:noWrap w:val="0"/>
            <w:vAlign w:val="center"/>
          </w:tcP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8"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4</w:t>
            </w:r>
          </w:p>
        </w:tc>
        <w:tc>
          <w:tcPr>
            <w:tcW w:w="720" w:type="dxa"/>
            <w:vMerge w:val="continue"/>
            <w:shd w:val="clear" w:color="auto" w:fill="auto"/>
            <w:noWrap w:val="0"/>
            <w:vAlign w:val="center"/>
          </w:tcP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房产测绘单位在房产面积测算中不执行国家标准、规范和规定</w:t>
            </w:r>
          </w:p>
        </w:tc>
        <w:tc>
          <w:tcPr>
            <w:tcW w:w="1980" w:type="dxa"/>
            <w:vMerge w:val="continue"/>
            <w:shd w:val="clear" w:color="auto" w:fill="auto"/>
            <w:noWrap w:val="0"/>
            <w:vAlign w:val="center"/>
          </w:tcPr>
          <w:p/>
        </w:tc>
        <w:tc>
          <w:tcPr>
            <w:tcW w:w="162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vMerge w:val="continue"/>
            <w:shd w:val="clear" w:color="auto" w:fill="auto"/>
            <w:noWrap w:val="0"/>
            <w:vAlign w:val="center"/>
          </w:tcP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5</w:t>
            </w:r>
          </w:p>
        </w:tc>
        <w:tc>
          <w:tcPr>
            <w:tcW w:w="720" w:type="dxa"/>
            <w:vMerge w:val="restart"/>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房产测绘单位在房产面积测算中弄虚作假、欺骗房屋权利人</w:t>
            </w:r>
          </w:p>
        </w:tc>
        <w:tc>
          <w:tcPr>
            <w:tcW w:w="1980" w:type="dxa"/>
            <w:vMerge w:val="restart"/>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eastAsia="仿宋_GB2312" w:cs="宋体"/>
                <w:sz w:val="18"/>
                <w:szCs w:val="18"/>
                <w:lang w:bidi="ar-SA"/>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6</w:t>
            </w:r>
          </w:p>
        </w:tc>
        <w:tc>
          <w:tcPr>
            <w:tcW w:w="720" w:type="dxa"/>
            <w:vMerge w:val="continue"/>
            <w:shd w:val="clear" w:color="auto" w:fill="auto"/>
            <w:noWrap w:val="0"/>
            <w:vAlign w:val="center"/>
          </w:tcP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房产测绘单位房产面积测算失误，造成重大损失</w:t>
            </w:r>
          </w:p>
        </w:tc>
        <w:tc>
          <w:tcPr>
            <w:tcW w:w="1980" w:type="dxa"/>
            <w:vMerge w:val="continue"/>
            <w:shd w:val="clear" w:color="auto" w:fill="auto"/>
            <w:noWrap w:val="0"/>
            <w:vAlign w:val="center"/>
          </w:tcPr>
          <w:p/>
        </w:tc>
        <w:tc>
          <w:tcPr>
            <w:tcW w:w="162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eastAsia="仿宋_GB2312" w:cs="宋体"/>
                <w:sz w:val="18"/>
                <w:szCs w:val="18"/>
                <w:lang w:bidi="ar-SA"/>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7</w:t>
            </w:r>
          </w:p>
        </w:tc>
        <w:tc>
          <w:tcPr>
            <w:tcW w:w="720" w:type="dxa"/>
            <w:vMerge w:val="continue"/>
            <w:shd w:val="clear" w:color="auto" w:fill="auto"/>
            <w:noWrap w:val="0"/>
            <w:vAlign w:val="center"/>
          </w:tcP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房地产经纪人员以个人名义承接房地产经纪业务和收取费用</w:t>
            </w:r>
          </w:p>
        </w:tc>
        <w:tc>
          <w:tcPr>
            <w:tcW w:w="1980" w:type="dxa"/>
            <w:vMerge w:val="continue"/>
            <w:shd w:val="clear" w:color="auto" w:fill="auto"/>
            <w:noWrap w:val="0"/>
            <w:vAlign w:val="center"/>
          </w:tcPr>
          <w:p/>
        </w:tc>
        <w:tc>
          <w:tcPr>
            <w:tcW w:w="162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《房地产经纪管理办法》</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eastAsia="仿宋_GB2312" w:cs="宋体"/>
                <w:sz w:val="18"/>
                <w:szCs w:val="18"/>
                <w:lang w:bidi="ar-SA"/>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7</w:t>
            </w:r>
          </w:p>
        </w:tc>
        <w:tc>
          <w:tcPr>
            <w:tcW w:w="720" w:type="dxa"/>
            <w:vMerge w:val="continue"/>
            <w:shd w:val="clear" w:color="auto" w:fill="auto"/>
            <w:noWrap w:val="0"/>
            <w:vAlign w:val="center"/>
          </w:tcP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房地产经纪人员以个人名义承接房地产经纪业务和收取费用</w:t>
            </w:r>
          </w:p>
        </w:tc>
        <w:tc>
          <w:tcPr>
            <w:tcW w:w="1980" w:type="dxa"/>
            <w:vMerge w:val="continue"/>
            <w:shd w:val="clear" w:color="auto" w:fill="auto"/>
            <w:noWrap w:val="0"/>
            <w:vAlign w:val="center"/>
          </w:tcPr>
          <w:p/>
        </w:tc>
        <w:tc>
          <w:tcPr>
            <w:tcW w:w="162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eastAsia="仿宋_GB2312" w:cs="宋体"/>
                <w:sz w:val="18"/>
                <w:szCs w:val="18"/>
                <w:lang w:bidi="ar-SA"/>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4"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8</w:t>
            </w:r>
          </w:p>
        </w:tc>
        <w:tc>
          <w:tcPr>
            <w:tcW w:w="720" w:type="dxa"/>
            <w:vMerge w:val="continue"/>
            <w:shd w:val="clear" w:color="auto" w:fill="auto"/>
            <w:noWrap w:val="0"/>
            <w:vAlign w:val="center"/>
          </w:tcP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房地产经纪机构提供代办贷款、代办房地产登记等其他服务，未向委托人说明服务内容、收费标准等情况，并未经委托人同意</w:t>
            </w:r>
          </w:p>
        </w:tc>
        <w:tc>
          <w:tcPr>
            <w:tcW w:w="1980" w:type="dxa"/>
            <w:vMerge w:val="continue"/>
            <w:shd w:val="clear" w:color="auto" w:fill="auto"/>
            <w:noWrap w:val="0"/>
            <w:vAlign w:val="center"/>
          </w:tcPr>
          <w:p/>
        </w:tc>
        <w:tc>
          <w:tcPr>
            <w:tcW w:w="162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eastAsia="仿宋_GB2312" w:cs="宋体"/>
                <w:sz w:val="18"/>
                <w:szCs w:val="18"/>
                <w:lang w:bidi="ar-SA"/>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9</w:t>
            </w:r>
          </w:p>
        </w:tc>
        <w:tc>
          <w:tcPr>
            <w:tcW w:w="720" w:type="dxa"/>
            <w:vMerge w:val="restart"/>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房地产经纪服务合同未由从事该业务的一名房地产经纪人或者两名房地产经纪人协理签名</w:t>
            </w:r>
          </w:p>
        </w:tc>
        <w:tc>
          <w:tcPr>
            <w:tcW w:w="1980" w:type="dxa"/>
            <w:vMerge w:val="restart"/>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eastAsia="仿宋_GB2312" w:cs="宋体"/>
                <w:sz w:val="18"/>
                <w:szCs w:val="18"/>
                <w:lang w:bidi="ar-SA"/>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10</w:t>
            </w:r>
          </w:p>
        </w:tc>
        <w:tc>
          <w:tcPr>
            <w:tcW w:w="720" w:type="dxa"/>
            <w:vMerge w:val="continue"/>
            <w:shd w:val="clear" w:color="auto" w:fill="auto"/>
            <w:noWrap w:val="0"/>
            <w:vAlign w:val="center"/>
          </w:tcP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房地产经纪机构签订房地产经纪服务合同前，不向交易当事人说明和书面告知规定事项</w:t>
            </w:r>
          </w:p>
        </w:tc>
        <w:tc>
          <w:tcPr>
            <w:tcW w:w="1980" w:type="dxa"/>
            <w:vMerge w:val="continue"/>
            <w:shd w:val="clear" w:color="auto" w:fill="auto"/>
            <w:noWrap w:val="0"/>
            <w:vAlign w:val="center"/>
          </w:tcPr>
          <w:p/>
        </w:tc>
        <w:tc>
          <w:tcPr>
            <w:tcW w:w="162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eastAsia="仿宋_GB2312" w:cs="宋体"/>
                <w:sz w:val="18"/>
                <w:szCs w:val="18"/>
                <w:lang w:bidi="ar-SA"/>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1"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11</w:t>
            </w:r>
          </w:p>
        </w:tc>
        <w:tc>
          <w:tcPr>
            <w:tcW w:w="720" w:type="dxa"/>
            <w:vMerge w:val="continue"/>
            <w:shd w:val="clear" w:color="auto" w:fill="auto"/>
            <w:noWrap w:val="0"/>
            <w:vAlign w:val="center"/>
          </w:tcP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房地产经纪机构未按照规定如实记录业务情况或者保存房地产经纪服务合同</w:t>
            </w:r>
          </w:p>
        </w:tc>
        <w:tc>
          <w:tcPr>
            <w:tcW w:w="1980" w:type="dxa"/>
            <w:vMerge w:val="continue"/>
            <w:shd w:val="clear" w:color="auto" w:fill="auto"/>
            <w:noWrap w:val="0"/>
            <w:vAlign w:val="center"/>
          </w:tcPr>
          <w:p/>
        </w:tc>
        <w:tc>
          <w:tcPr>
            <w:tcW w:w="162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eastAsia="仿宋_GB2312" w:cs="宋体"/>
                <w:sz w:val="18"/>
                <w:szCs w:val="18"/>
                <w:lang w:bidi="ar-SA"/>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12</w:t>
            </w:r>
          </w:p>
        </w:tc>
        <w:tc>
          <w:tcPr>
            <w:tcW w:w="720" w:type="dxa"/>
            <w:vMerge w:val="continue"/>
            <w:shd w:val="clear" w:color="auto" w:fill="auto"/>
            <w:noWrap w:val="0"/>
            <w:vAlign w:val="center"/>
          </w:tcP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房地产经纪机构擅自对外发布房源信息</w:t>
            </w:r>
          </w:p>
        </w:tc>
        <w:tc>
          <w:tcPr>
            <w:tcW w:w="1980" w:type="dxa"/>
            <w:vMerge w:val="continue"/>
            <w:shd w:val="clear" w:color="auto" w:fill="auto"/>
            <w:noWrap w:val="0"/>
            <w:vAlign w:val="center"/>
          </w:tcPr>
          <w:p/>
        </w:tc>
        <w:tc>
          <w:tcPr>
            <w:tcW w:w="162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eastAsia="仿宋_GB2312" w:cs="宋体"/>
                <w:sz w:val="18"/>
                <w:szCs w:val="18"/>
                <w:lang w:bidi="ar-SA"/>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13</w:t>
            </w:r>
          </w:p>
        </w:tc>
        <w:tc>
          <w:tcPr>
            <w:tcW w:w="720" w:type="dxa"/>
            <w:vMerge w:val="restart"/>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房地产经纪机构擅自划转客户交易结算资金</w:t>
            </w:r>
          </w:p>
        </w:tc>
        <w:tc>
          <w:tcPr>
            <w:tcW w:w="1980" w:type="dxa"/>
            <w:vMerge w:val="restart"/>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eastAsia="仿宋_GB2312" w:cs="宋体"/>
                <w:sz w:val="18"/>
                <w:szCs w:val="18"/>
                <w:lang w:bidi="ar-SA"/>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14</w:t>
            </w:r>
          </w:p>
        </w:tc>
        <w:tc>
          <w:tcPr>
            <w:tcW w:w="720" w:type="dxa"/>
            <w:vMerge w:val="continue"/>
            <w:shd w:val="clear" w:color="auto" w:fill="auto"/>
            <w:noWrap w:val="0"/>
            <w:vAlign w:val="center"/>
          </w:tcP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房地产经纪机构和房地产经纪人员以隐瞒、欺诈、胁迫、贿赂等不正当手段招揽业务，诱骗消费者交易或者强制交易</w:t>
            </w:r>
          </w:p>
        </w:tc>
        <w:tc>
          <w:tcPr>
            <w:tcW w:w="1980" w:type="dxa"/>
            <w:vMerge w:val="continue"/>
            <w:shd w:val="clear" w:color="auto" w:fill="auto"/>
            <w:noWrap w:val="0"/>
            <w:vAlign w:val="center"/>
          </w:tcPr>
          <w:p/>
        </w:tc>
        <w:tc>
          <w:tcPr>
            <w:tcW w:w="162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eastAsia="仿宋_GB2312" w:cs="宋体"/>
                <w:sz w:val="18"/>
                <w:szCs w:val="18"/>
                <w:lang w:bidi="ar-SA"/>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6"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15</w:t>
            </w:r>
          </w:p>
        </w:tc>
        <w:tc>
          <w:tcPr>
            <w:tcW w:w="720" w:type="dxa"/>
            <w:vMerge w:val="continue"/>
            <w:shd w:val="clear" w:color="auto" w:fill="auto"/>
            <w:noWrap w:val="0"/>
            <w:vAlign w:val="center"/>
          </w:tcP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房地产经纪机构和房地产经纪人员泄露或者不当使用委托人的个人信息或者商业秘密，谋取不正当利益</w:t>
            </w:r>
          </w:p>
        </w:tc>
        <w:tc>
          <w:tcPr>
            <w:tcW w:w="1980" w:type="dxa"/>
            <w:vMerge w:val="continue"/>
            <w:shd w:val="clear" w:color="auto" w:fill="auto"/>
            <w:noWrap w:val="0"/>
            <w:vAlign w:val="center"/>
          </w:tcPr>
          <w:p/>
        </w:tc>
        <w:tc>
          <w:tcPr>
            <w:tcW w:w="162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eastAsia="仿宋_GB2312" w:cs="宋体"/>
                <w:sz w:val="18"/>
                <w:szCs w:val="18"/>
                <w:lang w:bidi="ar-SA"/>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6" w:hRule="atLeast"/>
        </w:trPr>
        <w:tc>
          <w:tcPr>
            <w:tcW w:w="54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16</w:t>
            </w:r>
          </w:p>
        </w:tc>
        <w:tc>
          <w:tcPr>
            <w:tcW w:w="720" w:type="dxa"/>
            <w:vMerge w:val="continue"/>
            <w:shd w:val="clear" w:color="auto" w:fill="auto"/>
            <w:noWrap w:val="0"/>
            <w:vAlign w:val="center"/>
          </w:tcPr>
          <w:p/>
        </w:tc>
        <w:tc>
          <w:tcPr>
            <w:tcW w:w="180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为交易当事人规避房屋交易税费等非法目的，房地产经纪机构和房地产经纪人员就同一房屋签订不同交易价款的合同提供便利</w:t>
            </w:r>
          </w:p>
        </w:tc>
        <w:tc>
          <w:tcPr>
            <w:tcW w:w="1980" w:type="dxa"/>
            <w:vMerge w:val="continue"/>
            <w:shd w:val="clear" w:color="auto" w:fill="auto"/>
            <w:noWrap w:val="0"/>
            <w:vAlign w:val="center"/>
          </w:tcPr>
          <w:p/>
        </w:tc>
        <w:tc>
          <w:tcPr>
            <w:tcW w:w="162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rPr>
                <w:rFonts w:hint="eastAsia" w:ascii="仿宋_GB2312" w:eastAsia="仿宋_GB2312" w:cs="宋体"/>
                <w:sz w:val="18"/>
                <w:szCs w:val="18"/>
                <w:lang w:bidi="ar-SA"/>
              </w:rPr>
            </w:pPr>
            <w:r>
              <w:rPr>
                <w:rFonts w:hint="eastAsia" w:ascii="仿宋_GB2312" w:eastAsia="仿宋_GB2312"/>
                <w:sz w:val="18"/>
                <w:szCs w:val="18"/>
              </w:rPr>
              <w:t>城市管理行政执法部门或相关行政主管部门</w:t>
            </w:r>
          </w:p>
        </w:tc>
        <w:tc>
          <w:tcPr>
            <w:tcW w:w="144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eastAsia="仿宋_GB2312" w:cs="宋体"/>
                <w:sz w:val="18"/>
                <w:szCs w:val="18"/>
                <w:lang w:bidi="ar-SA"/>
              </w:rPr>
            </w:pPr>
            <w:r>
              <w:rPr>
                <w:rFonts w:hint="eastAsia" w:ascii="仿宋_GB2312" w:eastAsia="仿宋_GB2312"/>
                <w:sz w:val="18"/>
                <w:szCs w:val="18"/>
              </w:rPr>
              <w:t>■公开查阅点</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664" w:type="dxa"/>
            <w:shd w:val="clear" w:color="auto" w:fill="auto"/>
            <w:noWrap w:val="0"/>
            <w:vAlign w:val="center"/>
          </w:tcPr>
          <w:p>
            <w:pPr>
              <w:jc w:val="center"/>
              <w:rPr>
                <w:rFonts w:hint="eastAsia" w:ascii="仿宋_GB2312" w:eastAsia="仿宋_GB2312" w:cs="宋体"/>
                <w:sz w:val="18"/>
                <w:szCs w:val="18"/>
                <w:lang w:bidi="ar-SA"/>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c>
          <w:tcPr>
            <w:tcW w:w="720" w:type="dxa"/>
            <w:shd w:val="clear" w:color="auto" w:fill="auto"/>
            <w:noWrap w:val="0"/>
            <w:vAlign w:val="center"/>
          </w:tcPr>
          <w:p>
            <w:pPr>
              <w:jc w:val="center"/>
              <w:rPr>
                <w:rFonts w:hint="eastAsia" w:ascii="仿宋_GB2312" w:eastAsia="仿宋_GB2312" w:cs="Arial"/>
                <w:sz w:val="18"/>
                <w:szCs w:val="18"/>
                <w:lang w:bidi="ar-SA"/>
              </w:rPr>
            </w:pPr>
            <w:r>
              <w:rPr>
                <w:rFonts w:hint="eastAsia" w:ascii="仿宋_GB2312" w:eastAsia="仿宋_GB2312" w:cs="Arial"/>
                <w:sz w:val="18"/>
                <w:szCs w:val="18"/>
                <w:lang w:bidi="ar-SA"/>
              </w:rPr>
              <w:t>√</w:t>
            </w:r>
          </w:p>
        </w:tc>
      </w:tr>
    </w:tbl>
    <w:p>
      <w:pPr>
        <w:rPr>
          <w:rFonts w:hint="eastAsia" w:ascii="楷体_GB2312" w:eastAsia="楷体_GB2312"/>
          <w:sz w:val="30"/>
          <w:szCs w:val="30"/>
        </w:rPr>
      </w:pPr>
      <w:r>
        <w:rPr>
          <w:rFonts w:hint="eastAsia" w:ascii="楷体_GB2312" w:eastAsia="楷体_GB2312"/>
          <w:sz w:val="30"/>
          <w:szCs w:val="30"/>
        </w:rPr>
        <w:t>备注：考虑到篇幅原因，城市综合执法领域基层政务公开标准目录其他内容略。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F267F"/>
    <w:rsid w:val="0EE1566B"/>
    <w:rsid w:val="17B92483"/>
    <w:rsid w:val="17EC1845"/>
    <w:rsid w:val="1EA707BD"/>
    <w:rsid w:val="5ACC6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华文中宋"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2020-09-22T07:29:51Z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